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BB" w:rsidRDefault="00D32BBB">
      <w:pPr>
        <w:pStyle w:val="a3"/>
        <w:widowControl/>
        <w:shd w:val="clear" w:color="auto" w:fill="FFFFFF"/>
        <w:ind w:firstLine="640"/>
        <w:jc w:val="both"/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</w:pPr>
      <w:r w:rsidRPr="00D32BBB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关于跨境电子商务出口退运商品税收政策的公告 财政部 海关总署 税务总局公告2023年第4号</w:t>
      </w:r>
    </w:p>
    <w:p w:rsidR="00B22FF5" w:rsidRDefault="00D32BBB">
      <w:pPr>
        <w:pStyle w:val="a3"/>
        <w:widowControl/>
        <w:shd w:val="clear" w:color="auto" w:fill="FFFFFF"/>
        <w:ind w:firstLine="640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为加快发展外贸新业态，推动贸易高质量发展，现将跨境电子商务出口退运商品税收政策公告如下：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</w:p>
    <w:p w:rsidR="00B22FF5" w:rsidRDefault="00D32BBB">
      <w:pPr>
        <w:pStyle w:val="a3"/>
        <w:widowControl/>
        <w:shd w:val="clear" w:color="auto" w:fill="FFFFFF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 xml:space="preserve">　　一、对自本公告印发之日起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年内在跨境电子商务海关监管代码（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1210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、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9610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、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9710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、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9810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）项下申报出口，因滞销、退货原因，</w:t>
      </w:r>
      <w:proofErr w:type="gramStart"/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自出口</w:t>
      </w:r>
      <w:proofErr w:type="gramEnd"/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之日起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个月内原状退运进境的商品（不含食品），免征进口关税和进口环节增值税、消费税；出口时已征收的出口关税准予退还，出口时已征收的增值税、消费税参照内销货物发生退货有关税收规定执行。其中，监管代码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1210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项下出口商品，应自海关特殊监管区域或保税物流中心（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B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型）出区离境之日起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个月内退运至境内区外。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</w:p>
    <w:p w:rsidR="00B22FF5" w:rsidRDefault="00D32BBB">
      <w:pPr>
        <w:pStyle w:val="a3"/>
        <w:widowControl/>
        <w:shd w:val="clear" w:color="auto" w:fill="FFFFFF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 xml:space="preserve">　　二、对符合第一条规定的商品，已办理出口退税的，企业应当按现行规定补缴已退的税款。企业应当凭主管税务机关出具的《出口货物已补税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/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未退税证明》，申请办理免征进口关税和进口环节增值税、消费税，退还出口关税手续。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</w:p>
    <w:p w:rsidR="00B22FF5" w:rsidRDefault="00D32BBB">
      <w:pPr>
        <w:pStyle w:val="a3"/>
        <w:widowControl/>
        <w:shd w:val="clear" w:color="auto" w:fill="FFFFFF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 xml:space="preserve">　　三、第一条中规定的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原状退运进境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是</w:t>
      </w:r>
      <w:proofErr w:type="gramStart"/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指出口</w:t>
      </w:r>
      <w:proofErr w:type="gramEnd"/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商品退运进境时的最小商品形态应与原出口时的形态基本一致，不得增加任何配件或部件，不能经过任何加工、改装，但经拆箱、检（化）验、安装、调试等仍可视为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原状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；退运进境商品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lastRenderedPageBreak/>
        <w:t>应未被使用过，但对于只有经过试用才能发现品质不良或可证明被客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户试用后退货的情况除外。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</w:p>
    <w:p w:rsidR="00B22FF5" w:rsidRDefault="00D32BBB">
      <w:pPr>
        <w:pStyle w:val="a3"/>
        <w:widowControl/>
        <w:shd w:val="clear" w:color="auto" w:fill="FFFFFF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 xml:space="preserve">　　四、对符合第一、二、三条规定的商品，企业应当提交出口商品申报清单或出口报关单、退运原因说明等证明该商品确为因滞销、退货原因而退运进境的材料，并对材料的真实性承担法律责任。对因滞销退运的商品，企业应提供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“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自我声明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”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作为退运原因说明材料，承诺为因滞销退运；对因退货退运的商品，企业应提供退货记录（含跨境电子商务平台上的退货记录或拒收记录）、</w:t>
      </w:r>
      <w:proofErr w:type="gramStart"/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返货协议</w:t>
      </w:r>
      <w:proofErr w:type="gramEnd"/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等作为退运原因说明材料。海关据此办理退运免税等手续。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</w:p>
    <w:p w:rsidR="00B22FF5" w:rsidRDefault="00D32BBB">
      <w:pPr>
        <w:pStyle w:val="a3"/>
        <w:widowControl/>
        <w:shd w:val="clear" w:color="auto" w:fill="FFFFFF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 xml:space="preserve">　　五、企业偷税、骗税等违法违规行为，按照国家有关法律法规等规定处理。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</w:p>
    <w:p w:rsidR="00B22FF5" w:rsidRDefault="00D32BBB">
      <w:pPr>
        <w:pStyle w:val="a3"/>
        <w:widowControl/>
        <w:shd w:val="clear" w:color="auto" w:fill="FFFFFF"/>
        <w:jc w:val="both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 xml:space="preserve">　　特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此公告。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</w:p>
    <w:p w:rsidR="00B22FF5" w:rsidRDefault="00D32BBB">
      <w:pPr>
        <w:pStyle w:val="a3"/>
        <w:widowControl/>
        <w:shd w:val="clear" w:color="auto" w:fill="FFFFFF"/>
        <w:jc w:val="right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 xml:space="preserve">　　财政部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海关总署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税务总局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 </w:t>
      </w:r>
    </w:p>
    <w:p w:rsidR="00B22FF5" w:rsidRDefault="00D32BBB">
      <w:pPr>
        <w:pStyle w:val="a3"/>
        <w:widowControl/>
        <w:shd w:val="clear" w:color="auto" w:fill="FFFFFF"/>
        <w:jc w:val="right"/>
        <w:rPr>
          <w:rFonts w:ascii="宋体" w:eastAsia="宋体" w:hAnsi="宋体" w:cs="宋体"/>
          <w:color w:val="000000"/>
          <w:sz w:val="22"/>
          <w:szCs w:val="22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 xml:space="preserve">　　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2023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宋体" w:hAnsi="Times New Roman"/>
          <w:color w:val="333333"/>
          <w:sz w:val="32"/>
          <w:szCs w:val="32"/>
          <w:shd w:val="clear" w:color="auto" w:fill="FFFFFF"/>
        </w:rPr>
        <w:t>30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日</w:t>
      </w:r>
    </w:p>
    <w:p w:rsidR="00B22FF5" w:rsidRDefault="00B22FF5">
      <w:bookmarkStart w:id="0" w:name="_GoBack"/>
      <w:bookmarkEnd w:id="0"/>
    </w:p>
    <w:sectPr w:rsidR="00B22FF5" w:rsidSect="00B2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BB" w:rsidRDefault="00D32BBB" w:rsidP="00D32BBB">
      <w:r>
        <w:separator/>
      </w:r>
    </w:p>
  </w:endnote>
  <w:endnote w:type="continuationSeparator" w:id="1">
    <w:p w:rsidR="00D32BBB" w:rsidRDefault="00D32BBB" w:rsidP="00D32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BB" w:rsidRDefault="00D32BBB" w:rsidP="00D32BBB">
      <w:r>
        <w:separator/>
      </w:r>
    </w:p>
  </w:footnote>
  <w:footnote w:type="continuationSeparator" w:id="1">
    <w:p w:rsidR="00D32BBB" w:rsidRDefault="00D32BBB" w:rsidP="00D32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28A212A"/>
    <w:rsid w:val="00B22FF5"/>
    <w:rsid w:val="00D32BBB"/>
    <w:rsid w:val="128A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F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2FF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32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2B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2B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2B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China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2023-10-24T08:49:00Z</dcterms:created>
  <dcterms:modified xsi:type="dcterms:W3CDTF">2023-10-26T06:38:00Z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CE2C62C48FEB4599833260332D69BB79</vt:lpwstr>
  </property>
</Properties>
</file>