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高新区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信息化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中心202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仿宋_GB2312" w:hAnsi="微软雅黑" w:eastAsia="仿宋_GB2312" w:cs="仿宋_GB2312"/>
          <w:color w:val="333333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ascii="微软雅黑" w:hAnsi="微软雅黑" w:eastAsia="微软雅黑" w:cs="微软雅黑"/>
          <w:color w:val="333333"/>
        </w:rPr>
      </w:pPr>
      <w:r>
        <w:rPr>
          <w:rFonts w:ascii="仿宋_GB2312" w:hAnsi="微软雅黑" w:eastAsia="仿宋_GB2312" w:cs="仿宋_GB2312"/>
          <w:color w:val="333333"/>
          <w:sz w:val="31"/>
          <w:szCs w:val="31"/>
          <w:shd w:val="clear" w:fill="FFFFFF"/>
        </w:rPr>
        <w:t>根据《中华人民共和国政府信息公开条例》（国务院令第492号公布，国务院令第711号修订），全年工作做到了应公开全部公开，现公布高新区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信息化中心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2</w:t>
      </w:r>
      <w:r>
        <w:rPr>
          <w:rFonts w:ascii="仿宋_GB2312" w:hAnsi="微软雅黑" w:eastAsia="仿宋_GB2312" w:cs="仿宋_GB2312"/>
          <w:color w:val="333333"/>
          <w:sz w:val="31"/>
          <w:szCs w:val="31"/>
          <w:shd w:val="clear" w:fill="FFFFFF"/>
        </w:rPr>
        <w:t>年政府信息公开工作年度报告。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ascii="黑体" w:hAnsi="宋体" w:eastAsia="黑体" w:cs="黑体"/>
          <w:color w:val="555555"/>
          <w:sz w:val="31"/>
          <w:szCs w:val="31"/>
          <w:shd w:val="clear" w:fill="FFFFFF"/>
        </w:rPr>
      </w:pPr>
      <w:r>
        <w:rPr>
          <w:rFonts w:ascii="黑体" w:hAnsi="宋体" w:eastAsia="黑体" w:cs="黑体"/>
          <w:color w:val="555555"/>
          <w:sz w:val="31"/>
          <w:szCs w:val="31"/>
          <w:shd w:val="clear" w:fill="FFFFFF"/>
        </w:rPr>
        <w:t>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  <w:t>（</w:t>
      </w:r>
      <w:r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  <w:lang w:val="en-US" w:eastAsia="zh-CN"/>
        </w:rPr>
        <w:t>一</w:t>
      </w:r>
      <w:r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  <w:t>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default" w:ascii="仿宋_GB2312" w:hAnsi="微软雅黑" w:eastAsia="仿宋_GB2312" w:cs="仿宋_GB2312"/>
          <w:color w:val="555555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  <w:lang w:val="en-US" w:eastAsia="zh-CN"/>
        </w:rPr>
        <w:t>信息化中心</w:t>
      </w:r>
      <w:r>
        <w:rPr>
          <w:rFonts w:hint="default" w:ascii="仿宋_GB2312" w:hAnsi="微软雅黑" w:eastAsia="仿宋_GB2312" w:cs="仿宋_GB2312"/>
          <w:color w:val="555555"/>
          <w:sz w:val="31"/>
          <w:szCs w:val="31"/>
          <w:shd w:val="clear" w:fill="FFFFFF"/>
        </w:rPr>
        <w:t>主动公开的信息主要包括：机构设置及职能、财务信息、重点</w:t>
      </w: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  <w:lang w:val="en-US" w:eastAsia="zh-CN"/>
        </w:rPr>
        <w:t>工作</w:t>
      </w:r>
      <w:r>
        <w:rPr>
          <w:rFonts w:hint="default" w:ascii="仿宋_GB2312" w:hAnsi="微软雅黑" w:eastAsia="仿宋_GB2312" w:cs="仿宋_GB2312"/>
          <w:color w:val="555555"/>
          <w:sz w:val="31"/>
          <w:szCs w:val="31"/>
          <w:shd w:val="clear" w:fill="FFFFFF"/>
        </w:rPr>
        <w:t>等。</w:t>
      </w: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  <w:lang w:eastAsia="zh-CN"/>
        </w:rPr>
        <w:t>截至2022年</w:t>
      </w:r>
      <w:r>
        <w:rPr>
          <w:rFonts w:hint="default" w:ascii="仿宋_GB2312" w:hAnsi="微软雅黑" w:eastAsia="仿宋_GB2312" w:cs="仿宋_GB2312"/>
          <w:color w:val="555555"/>
          <w:sz w:val="31"/>
          <w:szCs w:val="31"/>
          <w:shd w:val="clear" w:fill="FFFFFF"/>
        </w:rPr>
        <w:t>12月31日，共在区门户网站发布信息</w:t>
      </w: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仿宋_GB2312" w:hAnsi="微软雅黑" w:eastAsia="仿宋_GB2312" w:cs="仿宋_GB2312"/>
          <w:color w:val="555555"/>
          <w:sz w:val="31"/>
          <w:szCs w:val="31"/>
          <w:shd w:val="clear" w:fill="FFFFFF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</w:pPr>
      <w:r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  <w:t>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</w:rPr>
        <w:t>本年度未收到依申请公开事情。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</w:pPr>
      <w:r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  <w:t>（三）政府信息管理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</w:rPr>
        <w:t>对现有规范性文件进行了全面梳理，对公布的所有规范性文件逐个进行检查，确保每个规范性文件完整包括标题、文号、发文日期、全文及有效性等。对规范性文件进行文字、图片、视频等多种形式详细政策解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</w:pPr>
      <w:r>
        <w:rPr>
          <w:rStyle w:val="6"/>
          <w:rFonts w:hint="eastAsia" w:ascii="楷体" w:hAnsi="楷体" w:eastAsia="楷体" w:cs="楷体"/>
          <w:color w:val="555555"/>
          <w:sz w:val="31"/>
          <w:szCs w:val="31"/>
          <w:shd w:val="clear" w:fill="FFFFFF"/>
        </w:rPr>
        <w:t>（四）政府信息公开平台建设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"/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  <w:lang w:val="en-US" w:eastAsia="zh-CN"/>
        </w:rPr>
        <w:t>信息化中心</w:t>
      </w:r>
      <w:r>
        <w:rPr>
          <w:rFonts w:hint="eastAsia" w:ascii="仿宋_GB2312" w:hAnsi="微软雅黑" w:eastAsia="仿宋_GB2312" w:cs="仿宋_GB2312"/>
          <w:color w:val="555555"/>
          <w:sz w:val="31"/>
          <w:szCs w:val="31"/>
          <w:shd w:val="clear" w:fill="FFFFFF"/>
        </w:rPr>
        <w:t>积极加强政务公开各类平台建设，增强公开实效。及时升级信息公开平台功能，调整目录设置，优化专题专栏建设，丰富公开内容，及时公开市民关心的热点问题，不定期发布最新动态，强化互动和服务功能。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color w:val="55555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黑体" w:hAnsi="宋体" w:eastAsia="黑体" w:cs="黑体"/>
          <w:color w:val="555555"/>
          <w:sz w:val="31"/>
          <w:szCs w:val="31"/>
          <w:shd w:val="clear" w:fill="FFFFFF"/>
        </w:rPr>
        <w:t>二、主动公开政府信息情况</w:t>
      </w:r>
    </w:p>
    <w:tbl>
      <w:tblPr>
        <w:tblStyle w:val="4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5"/>
        <w:gridCol w:w="1874"/>
        <w:gridCol w:w="6"/>
        <w:gridCol w:w="1269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  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  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　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  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 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　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黑体" w:hAnsi="宋体" w:eastAsia="黑体" w:cs="黑体"/>
          <w:color w:val="555555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854"/>
        <w:gridCol w:w="2080"/>
        <w:gridCol w:w="809"/>
        <w:gridCol w:w="749"/>
        <w:gridCol w:w="749"/>
        <w:gridCol w:w="809"/>
        <w:gridCol w:w="973"/>
        <w:gridCol w:w="719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黑体" w:hAnsi="宋体" w:eastAsia="黑体" w:cs="黑体"/>
          <w:color w:val="555555"/>
          <w:sz w:val="31"/>
          <w:szCs w:val="31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hd w:val="clear" w:fill="FFFFFF"/>
        </w:rPr>
        <w:t> 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555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 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color w:val="555555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黑体" w:hAnsi="宋体" w:eastAsia="黑体" w:cs="黑体"/>
          <w:color w:val="555555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一是政务公开的时效不够规范。政务公开的内容涉及部门负责同志沟通不够及时，延缓了所需材料汇报时间，延缓了政务公开的时间。二是政务公开的形式内容较单一，缺乏多样性。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下一步，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fill="FFFFFF"/>
          <w:lang w:val="en-US" w:eastAsia="zh-CN"/>
        </w:rPr>
        <w:t>信息化中心</w:t>
      </w:r>
      <w:r>
        <w:rPr>
          <w:rFonts w:hint="default" w:ascii="仿宋_GB2312" w:hAnsi="微软雅黑" w:eastAsia="仿宋_GB2312" w:cs="仿宋_GB2312"/>
          <w:color w:val="333333"/>
          <w:sz w:val="31"/>
          <w:szCs w:val="31"/>
          <w:shd w:val="clear" w:fill="FFFFFF"/>
        </w:rPr>
        <w:t>将进一步加强领导。切实把政务公开工作作为一项基本制度，纳入年度工作目标体系中。建立齐抓共管的工作机制，推动政务公开工作的深入开展。同时，强化监督检查。要进一步完善监督检查制度，严格按照考核标准，采取不定期抽查和定期检查相结合的方式，对政务公开工作的内容及时效性进行督促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9DCC9D"/>
    <w:multiLevelType w:val="singleLevel"/>
    <w:tmpl w:val="4E9DCC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DhmY2RjNjdlMTdmZTg2OTBiMzBlMDEyZmIyNTEifQ=="/>
  </w:docVars>
  <w:rsids>
    <w:rsidRoot w:val="384470AF"/>
    <w:rsid w:val="01595E42"/>
    <w:rsid w:val="1E7C1DFF"/>
    <w:rsid w:val="1FAD54BB"/>
    <w:rsid w:val="384470AF"/>
    <w:rsid w:val="642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1471</Words>
  <Characters>1502</Characters>
  <Lines>0</Lines>
  <Paragraphs>0</Paragraphs>
  <TotalTime>1</TotalTime>
  <ScaleCrop>false</ScaleCrop>
  <LinksUpToDate>false</LinksUpToDate>
  <CharactersWithSpaces>1714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2022-02-15T01:01:00Z</dcterms:created>
  <dc:creator>xue</dc:creator>
  <cp:lastModifiedBy>程龙</cp:lastModifiedBy>
  <cp:lastPrinted>2023-01-19T01:17:00Z</cp:lastPrinted>
  <dcterms:modified xsi:type="dcterms:W3CDTF">2024-01-04T05:49:51Z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4E723D46421C4B72A9BC9226713468FE</vt:lpwstr>
  </property>
</Properties>
</file>