
<file path=[Content_Types].xml><?xml version="1.0" encoding="utf-8"?>
<Types xmlns="http://schemas.openxmlformats.org/package/2006/content-types">
  <Default Extension="xml" ContentType="application/xml"/>
  <Default Extension="xlsx" ContentType="application/vnd.openxmlformats-officedocument.spreadsheetml.sheet"/>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default" w:ascii="楷体_GB2312" w:hAnsi="楷体_GB2312" w:eastAsia="楷体_GB2312" w:cs="楷体_GB2312"/>
          <w:color w:val="000000" w:themeColor="text1"/>
          <w:kern w:val="0"/>
          <w:sz w:val="40"/>
          <w:szCs w:val="40"/>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r>
        <w:rPr>
          <w:rFonts w:hint="eastAsia" w:ascii="楷体_GB2312" w:hAnsi="楷体_GB2312" w:eastAsia="楷体_GB2312" w:cs="楷体_GB2312"/>
          <w:color w:val="000000" w:themeColor="text1"/>
          <w:kern w:val="0"/>
          <w:sz w:val="40"/>
          <w:szCs w:val="40"/>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 xml:space="preserve">  </w:t>
      </w: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jc w:val="center"/>
        <w:rPr>
          <w:rFonts w:hint="eastAsia" w:ascii="黑体" w:hAnsi="黑体" w:eastAsia="黑体" w:cs="黑体"/>
          <w:sz w:val="72"/>
          <w:szCs w:val="96"/>
          <w:lang w:eastAsia="zh-CN"/>
        </w:rPr>
      </w:pPr>
      <w:r>
        <w:rPr>
          <w:rFonts w:hint="eastAsia" w:ascii="黑体" w:hAnsi="黑体" w:eastAsia="黑体" w:cs="黑体"/>
          <w:sz w:val="72"/>
          <w:szCs w:val="96"/>
          <w:lang w:eastAsia="zh-CN"/>
        </w:rPr>
        <w:t>承德高新区教育体育局</w:t>
      </w:r>
    </w:p>
    <w:p>
      <w:pPr>
        <w:jc w:val="center"/>
        <w:rPr>
          <w:rFonts w:ascii="黑体" w:hAnsi="黑体" w:eastAsia="黑体" w:cs="黑体"/>
          <w:sz w:val="72"/>
          <w:szCs w:val="96"/>
        </w:rPr>
      </w:pPr>
      <w:r>
        <w:rPr>
          <w:rFonts w:hint="eastAsia" w:ascii="黑体" w:hAnsi="黑体" w:eastAsia="黑体" w:cs="黑体"/>
          <w:sz w:val="72"/>
          <w:szCs w:val="96"/>
        </w:rPr>
        <w:t>2020年度部门决算公开文本</w:t>
      </w:r>
    </w:p>
    <w:p>
      <w:pPr>
        <w:spacing w:line="36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60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pacing w:line="480" w:lineRule="auto"/>
        <w:jc w:val="center"/>
        <w:rPr>
          <w:rFonts w:ascii="黑体" w:hAnsi="黑体" w:eastAsia="黑体" w:cs="黑体"/>
          <w:sz w:val="56"/>
          <w:szCs w:val="72"/>
        </w:rPr>
      </w:pPr>
    </w:p>
    <w:p>
      <w:pPr>
        <w:snapToGrid w:val="0"/>
        <w:jc w:val="cente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pPr>
        <w:snapToGrid w:val="0"/>
        <w:jc w:val="center"/>
        <w:rPr>
          <w:rFonts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pgSz w:w="11906" w:h="16838"/>
          <w:pgMar w:top="2098" w:right="1531" w:bottom="1984" w:left="1531" w:header="851" w:footer="992" w:gutter="0"/>
          <w:cols w:space="0" w:num="1"/>
          <w:titlePg/>
          <w:docGrid w:type="lines" w:linePitch="312" w:charSpace="0"/>
        </w:sectPr>
      </w:pP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二〇二一年</w:t>
      </w:r>
      <w:r>
        <w:rPr>
          <w:rFonts w:hint="eastAsia" w:ascii="楷体_GB2312" w:hAnsi="楷体_GB2312" w:eastAsia="楷体_GB2312" w:cs="楷体_GB2312"/>
          <w:color w:val="000000" w:themeColor="text1"/>
          <w:kern w:val="0"/>
          <w:sz w:val="40"/>
          <w:szCs w:val="40"/>
          <w:lang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十一</w:t>
      </w:r>
      <w:r>
        <w:rPr>
          <w:rFonts w:hint="eastAsia" w:ascii="楷体_GB2312" w:hAnsi="楷体_GB2312" w:eastAsia="楷体_GB2312" w:cs="楷体_GB2312"/>
          <w:color w:val="000000" w:themeColor="text1"/>
          <w:kern w:val="0"/>
          <w:sz w:val="40"/>
          <w:szCs w:val="40"/>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t>月</w:t>
      </w:r>
    </w:p>
    <w:p>
      <w:pPr>
        <w:tabs>
          <w:tab w:val="left" w:pos="2728"/>
        </w:tabs>
        <w:jc w:val="center"/>
        <w:rPr>
          <w:rFonts w:hint="eastAsia" w:ascii="黑体" w:hAnsi="Times New Roman" w:eastAsia="黑体" w:cs="Times New Roman"/>
          <w:sz w:val="48"/>
          <w:szCs w:val="48"/>
        </w:rPr>
      </w:pPr>
    </w:p>
    <w:p>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t>目    录</w:t>
      </w:r>
    </w:p>
    <w:p>
      <w:pPr>
        <w:widowControl/>
        <w:spacing w:after="160" w:line="580" w:lineRule="exact"/>
        <w:ind w:firstLine="640" w:firstLineChars="200"/>
        <w:rPr>
          <w:rFonts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4"/>
          <w:szCs w:val="32"/>
        </w:rPr>
      </w:pPr>
      <w:r>
        <w:rPr>
          <w:rFonts w:ascii="Times New Roman" w:hAnsi="Times New Roman" w:eastAsia="黑体" w:cs="Times New Roman"/>
          <w:sz w:val="32"/>
          <w:szCs w:val="32"/>
        </w:rPr>
        <w:t>第一部分   部门概况</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一、部门</w:t>
      </w:r>
      <w:r>
        <w:rPr>
          <w:rFonts w:hint="eastAsia" w:ascii="Times New Roman" w:hAnsi="Times New Roman" w:eastAsia="仿宋_GB2312" w:cs="Times New Roman"/>
          <w:sz w:val="32"/>
          <w:szCs w:val="32"/>
        </w:rPr>
        <w:t>职责</w:t>
      </w:r>
    </w:p>
    <w:p>
      <w:pPr>
        <w:keepNext w:val="0"/>
        <w:keepLines w:val="0"/>
        <w:pageBreakBefore w:val="0"/>
        <w:widowControl/>
        <w:kinsoku/>
        <w:wordWrap/>
        <w:overflowPunct/>
        <w:topLinePunct w:val="0"/>
        <w:autoSpaceDE/>
        <w:autoSpaceDN/>
        <w:bidi w:val="0"/>
        <w:adjustRightInd/>
        <w:snapToGrid/>
        <w:spacing w:line="640" w:lineRule="exact"/>
        <w:ind w:firstLine="1273" w:firstLineChars="398"/>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机构设置</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年部门决算情况说明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二、收入决算情况说明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四、财政拨款收入支出决算总体情况说明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五、一般公共预算“三公” 经费支出决算情况说明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六、预算绩效情况说明</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七、机关运行经费情况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八、政府采购情况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九、国有资产占用情况</w:t>
      </w:r>
    </w:p>
    <w:p>
      <w:pPr>
        <w:keepNext w:val="0"/>
        <w:keepLines w:val="0"/>
        <w:pageBreakBefore w:val="0"/>
        <w:widowControl/>
        <w:kinsoku/>
        <w:wordWrap/>
        <w:overflowPunct/>
        <w:topLinePunct w:val="0"/>
        <w:autoSpaceDE/>
        <w:autoSpaceDN/>
        <w:bidi w:val="0"/>
        <w:adjustRightInd/>
        <w:snapToGrid/>
        <w:spacing w:line="640" w:lineRule="exact"/>
        <w:ind w:leftChars="300"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十、其他需要说明的情况</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第三部分   名词解释</w:t>
      </w:r>
    </w:p>
    <w:p>
      <w:pPr>
        <w:keepNext w:val="0"/>
        <w:keepLines w:val="0"/>
        <w:pageBreakBefore w:val="0"/>
        <w:widowControl/>
        <w:kinsoku/>
        <w:wordWrap/>
        <w:overflowPunct/>
        <w:topLinePunct w:val="0"/>
        <w:autoSpaceDE/>
        <w:autoSpaceDN/>
        <w:bidi w:val="0"/>
        <w:adjustRightInd/>
        <w:snapToGrid/>
        <w:spacing w:line="640" w:lineRule="exact"/>
        <w:ind w:firstLine="640" w:firstLineChars="200"/>
        <w:textAlignment w:val="auto"/>
        <w:rPr>
          <w:rFonts w:ascii="Times New Roman" w:hAnsi="Times New Roman" w:eastAsia="仿宋_GB2312" w:cs="Times New Roman"/>
          <w:sz w:val="20"/>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 xml:space="preserve"> 20</w:t>
      </w:r>
      <w:r>
        <w:rPr>
          <w:rFonts w:hint="eastAsia" w:ascii="Times New Roman" w:hAnsi="Times New Roman" w:eastAsia="黑体" w:cs="Times New Roman"/>
          <w:sz w:val="32"/>
          <w:szCs w:val="32"/>
        </w:rPr>
        <w:t>20</w:t>
      </w:r>
      <w:r>
        <w:rPr>
          <w:rFonts w:ascii="Times New Roman" w:hAnsi="Times New Roman" w:eastAsia="黑体" w:cs="Times New Roman"/>
          <w:sz w:val="32"/>
          <w:szCs w:val="32"/>
        </w:rPr>
        <w:t>年度部门决算报表</w:t>
      </w:r>
    </w:p>
    <w:p>
      <w:pPr>
        <w:widowControl/>
        <w:spacing w:after="160" w:line="580" w:lineRule="exact"/>
        <w:ind w:firstLine="640" w:firstLineChars="200"/>
        <w:rPr>
          <w:rFonts w:ascii="Times New Roman" w:hAnsi="Times New Roman" w:eastAsia="黑体" w:cs="Times New Roman"/>
          <w:sz w:val="32"/>
          <w:szCs w:val="32"/>
        </w:rPr>
        <w:sectPr>
          <w:headerReference r:id="rId4" w:type="first"/>
          <w:footerReference r:id="rId6" w:type="first"/>
          <w:headerReference r:id="rId3" w:type="default"/>
          <w:footerReference r:id="rId5" w:type="default"/>
          <w:type w:val="continuous"/>
          <w:pgSz w:w="11906" w:h="16838"/>
          <w:pgMar w:top="2098" w:right="1531" w:bottom="1984" w:left="1531" w:header="851" w:footer="992" w:gutter="0"/>
          <w:cols w:space="0" w:num="1"/>
          <w:titlePg/>
          <w:docGrid w:type="lines" w:linePitch="312" w:charSpace="0"/>
        </w:sect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pPr>
        <w:widowControl/>
        <w:spacing w:line="580" w:lineRule="exact"/>
        <w:ind w:firstLine="640" w:firstLineChars="200"/>
        <w:rPr>
          <w:rFonts w:eastAsia="黑体"/>
          <w:sz w:val="32"/>
          <w:szCs w:val="32"/>
        </w:rPr>
      </w:pPr>
    </w:p>
    <w:p>
      <w:r>
        <w:rPr>
          <w:sz w:val="72"/>
        </w:rPr>
        <mc:AlternateContent>
          <mc:Choice Requires="wps">
            <w:drawing>
              <wp:anchor distT="0" distB="0" distL="114300" distR="114300" simplePos="0" relativeHeight="251659264" behindDoc="0" locked="0" layoutInCell="1" allowOverlap="1">
                <wp:simplePos x="0" y="0"/>
                <wp:positionH relativeFrom="column">
                  <wp:posOffset>-1088390</wp:posOffset>
                </wp:positionH>
                <wp:positionV relativeFrom="paragraph">
                  <wp:posOffset>1024890</wp:posOffset>
                </wp:positionV>
                <wp:extent cx="7793355" cy="3341370"/>
                <wp:effectExtent l="6350" t="6350" r="18415" b="20320"/>
                <wp:wrapNone/>
                <wp:docPr id="143" name="文本框 143"/>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5.7pt;margin-top:80.7pt;height:263.1pt;width:613.65pt;z-index:251659264;v-text-anchor:middle;mso-width-relative:page;mso-height-relative:page;" fillcolor="#7F7F7F [1612]" filled="t" stroked="t" coordsize="21600,21600" o:gfxdata="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Df95gjcAAAADQEAAA8AAAAAAAAAAQAgAAAAIgAAAGRycy9kb3ducmV2Lnht&#10;bFBLAQIUABQAAAAIAIdO4kCP8Fn4oAIAAHEFAAAOAAAAAAAAAAEAIAAAACsBAABkcnMvZTJvRG9j&#10;LnhtbFBLBQYAAAAABgAGAFkBAAA9BgAAAAA=&#10;">
                <v:fill type="pattern" on="t" color2="#FFFFFF [3212]" o:title="5%" focussize="0,0" r:id="rId10"/>
                <v:stroke weight="1pt" color="#A6A6A6 [2092]" joinstyle="round"/>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第一部分  部门概况</w:t>
                      </w:r>
                    </w:p>
                  </w:txbxContent>
                </v:textbox>
              </v:shape>
            </w:pict>
          </mc:Fallback>
        </mc:AlternateContent>
      </w:r>
      <w:r>
        <w:br w:type="page"/>
      </w:r>
    </w:p>
    <w:p>
      <w:pPr>
        <w:pStyle w:val="3"/>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一、部门职责</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1. 贯彻落实各级有关行政审批制度改革的决定，负责全区行政审批改革工作。</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2. 负责各职能部门划转的行政许可事项的审批。</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3. 负责行政审批、政务服务标准化建设。</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4. 负责组织实施行政审批涉及的现场勘查、技术论证和社会听证等工作。</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5. 负责建立投资审批通道、全程代办服务工作机制，提供投资政策咨询服务。</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6. 负责建立和完善政务服务体系，受理投诉举报，会同有关部门查处违法违纪行为。</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eastAsia" w:ascii="仿宋_GB2312" w:hAnsi="Cambria" w:eastAsia="仿宋_GB2312" w:cs="黑体"/>
          <w:b w:val="0"/>
          <w:bCs w:val="0"/>
          <w:kern w:val="0"/>
          <w:sz w:val="32"/>
          <w:szCs w:val="32"/>
        </w:rPr>
      </w:pPr>
      <w:r>
        <w:rPr>
          <w:rFonts w:hint="eastAsia" w:ascii="仿宋_GB2312" w:hAnsi="Cambria" w:eastAsia="仿宋_GB2312" w:cs="黑体"/>
          <w:b w:val="0"/>
          <w:bCs w:val="0"/>
          <w:kern w:val="0"/>
          <w:sz w:val="32"/>
          <w:szCs w:val="32"/>
        </w:rPr>
        <w:t>7. 负责协调派驻部门行政审批事项的办理。</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0" w:firstLineChars="0"/>
        <w:jc w:val="left"/>
        <w:textAlignment w:val="auto"/>
        <w:rPr>
          <w:rFonts w:hint="default" w:ascii="仿宋_GB2312" w:hAnsi="Cambria" w:eastAsia="仿宋_GB2312" w:cs="黑体"/>
          <w:b w:val="0"/>
          <w:bCs w:val="0"/>
          <w:kern w:val="0"/>
          <w:sz w:val="32"/>
          <w:szCs w:val="32"/>
          <w:lang w:val="en-US" w:eastAsia="zh-CN"/>
        </w:rPr>
      </w:pPr>
      <w:r>
        <w:rPr>
          <w:rFonts w:hint="eastAsia" w:ascii="仿宋_GB2312" w:hAnsi="Cambria" w:eastAsia="仿宋_GB2312" w:cs="黑体"/>
          <w:b w:val="0"/>
          <w:bCs w:val="0"/>
          <w:kern w:val="0"/>
          <w:sz w:val="32"/>
          <w:szCs w:val="32"/>
        </w:rPr>
        <w:t>8. 协助有关部门负责全区规范化服务型政府（机关）建设工作的规划、指导和推进。</w:t>
      </w:r>
    </w:p>
    <w:p>
      <w:pPr>
        <w:keepNext/>
        <w:keepLines/>
        <w:spacing w:line="580" w:lineRule="exact"/>
        <w:jc w:val="left"/>
        <w:outlineLvl w:val="0"/>
        <w:rPr>
          <w:rFonts w:hint="eastAsia" w:ascii="仿宋_GB2312" w:hAnsi="Cambria" w:eastAsia="仿宋_GB2312" w:cs="黑体"/>
          <w:b w:val="0"/>
          <w:bCs w:val="0"/>
          <w:kern w:val="0"/>
          <w:sz w:val="32"/>
          <w:szCs w:val="32"/>
          <w:lang w:val="en-US" w:eastAsia="zh-CN"/>
        </w:rPr>
      </w:pPr>
      <w:r>
        <w:rPr>
          <w:rFonts w:hint="eastAsia" w:ascii="仿宋_GB2312" w:hAnsi="Cambria" w:eastAsia="仿宋_GB2312" w:cs="黑体"/>
          <w:b w:val="0"/>
          <w:bCs w:val="0"/>
          <w:kern w:val="0"/>
          <w:sz w:val="32"/>
          <w:szCs w:val="32"/>
        </w:rPr>
        <w:t>9. 协助有关部门负责全区政务公开工作的规划、指导和推进</w:t>
      </w:r>
      <w:r>
        <w:rPr>
          <w:rFonts w:hint="eastAsia" w:ascii="仿宋_GB2312" w:hAnsi="Cambria" w:eastAsia="仿宋_GB2312" w:cs="黑体"/>
          <w:b w:val="0"/>
          <w:bCs w:val="0"/>
          <w:kern w:val="0"/>
          <w:sz w:val="32"/>
          <w:szCs w:val="32"/>
          <w:lang w:val="en-US" w:eastAsia="zh-CN"/>
        </w:rPr>
        <w:t>.</w:t>
      </w:r>
    </w:p>
    <w:p>
      <w:pPr>
        <w:keepNext/>
        <w:keepLines/>
        <w:spacing w:line="580" w:lineRule="exact"/>
        <w:jc w:val="left"/>
        <w:outlineLvl w:val="0"/>
        <w:rPr>
          <w:rFonts w:hint="eastAsia" w:ascii="仿宋_GB2312" w:hAnsi="Cambria" w:eastAsia="仿宋_GB2312" w:cs="黑体"/>
          <w:b w:val="0"/>
          <w:bCs w:val="0"/>
          <w:kern w:val="0"/>
          <w:sz w:val="32"/>
          <w:szCs w:val="32"/>
          <w:lang w:val="en-US" w:eastAsia="zh-CN"/>
        </w:rPr>
      </w:pPr>
    </w:p>
    <w:p>
      <w:pPr>
        <w:keepNext/>
        <w:keepLines/>
        <w:spacing w:line="580" w:lineRule="exact"/>
        <w:jc w:val="left"/>
        <w:outlineLvl w:val="0"/>
        <w:rPr>
          <w:rFonts w:hint="eastAsia" w:ascii="仿宋_GB2312" w:hAnsi="Cambria" w:eastAsia="仿宋_GB2312" w:cs="黑体"/>
          <w:b w:val="0"/>
          <w:bCs w:val="0"/>
          <w:kern w:val="0"/>
          <w:sz w:val="32"/>
          <w:szCs w:val="32"/>
          <w:lang w:val="en-US" w:eastAsia="zh-CN"/>
        </w:rPr>
      </w:pPr>
    </w:p>
    <w:p>
      <w:pPr>
        <w:keepNext/>
        <w:keepLines/>
        <w:spacing w:line="580" w:lineRule="exact"/>
        <w:jc w:val="left"/>
        <w:outlineLvl w:val="0"/>
        <w:rPr>
          <w:rFonts w:hint="eastAsia" w:ascii="仿宋_GB2312" w:hAnsi="Cambria" w:eastAsia="仿宋_GB2312" w:cs="黑体"/>
          <w:b w:val="0"/>
          <w:bCs w:val="0"/>
          <w:kern w:val="0"/>
          <w:sz w:val="32"/>
          <w:szCs w:val="32"/>
          <w:lang w:val="en-US" w:eastAsia="zh-CN"/>
        </w:rPr>
      </w:pPr>
    </w:p>
    <w:p>
      <w:pPr>
        <w:keepNext/>
        <w:keepLines/>
        <w:spacing w:line="580" w:lineRule="exact"/>
        <w:jc w:val="left"/>
        <w:outlineLvl w:val="0"/>
        <w:rPr>
          <w:rFonts w:hint="eastAsia" w:ascii="仿宋_GB2312" w:hAnsi="Cambria" w:eastAsia="仿宋_GB2312" w:cs="黑体"/>
          <w:b w:val="0"/>
          <w:bCs w:val="0"/>
          <w:kern w:val="0"/>
          <w:sz w:val="32"/>
          <w:szCs w:val="32"/>
          <w:lang w:val="en-US" w:eastAsia="zh-CN"/>
        </w:rPr>
      </w:pPr>
    </w:p>
    <w:p>
      <w:pPr>
        <w:keepNext/>
        <w:keepLines/>
        <w:spacing w:line="580" w:lineRule="exact"/>
        <w:jc w:val="left"/>
        <w:outlineLvl w:val="0"/>
        <w:rPr>
          <w:rFonts w:hint="eastAsia" w:ascii="仿宋_GB2312" w:hAnsi="Cambria" w:eastAsia="仿宋_GB2312" w:cs="黑体"/>
          <w:b w:val="0"/>
          <w:bCs w:val="0"/>
          <w:kern w:val="0"/>
          <w:sz w:val="32"/>
          <w:szCs w:val="32"/>
          <w:lang w:val="en-US" w:eastAsia="zh-CN"/>
        </w:rPr>
      </w:pPr>
    </w:p>
    <w:p>
      <w:pPr>
        <w:keepNext/>
        <w:keepLines/>
        <w:spacing w:line="580" w:lineRule="exact"/>
        <w:jc w:val="left"/>
        <w:outlineLvl w:val="0"/>
        <w:rPr>
          <w:rFonts w:hint="eastAsia" w:ascii="仿宋_GB2312" w:hAnsi="Cambria" w:eastAsia="仿宋_GB2312" w:cs="黑体"/>
          <w:b w:val="0"/>
          <w:bCs w:val="0"/>
          <w:kern w:val="0"/>
          <w:sz w:val="32"/>
          <w:szCs w:val="32"/>
          <w:lang w:val="en-US" w:eastAsia="zh-CN"/>
        </w:rPr>
      </w:pPr>
    </w:p>
    <w:p>
      <w:pPr>
        <w:keepNext/>
        <w:keepLines/>
        <w:spacing w:line="580" w:lineRule="exact"/>
        <w:jc w:val="left"/>
        <w:outlineLvl w:val="0"/>
        <w:rPr>
          <w:rFonts w:ascii="黑体" w:hAnsi="Calibri" w:eastAsia="黑体" w:cs="黑体"/>
          <w:kern w:val="0"/>
          <w:sz w:val="32"/>
          <w:szCs w:val="32"/>
        </w:rPr>
      </w:pPr>
      <w:r>
        <w:rPr>
          <w:rFonts w:hint="eastAsia" w:ascii="黑体" w:hAnsi="Calibri" w:eastAsia="黑体" w:cs="黑体"/>
          <w:kern w:val="0"/>
          <w:sz w:val="32"/>
          <w:szCs w:val="32"/>
        </w:rPr>
        <w:t>二、机构设置</w:t>
      </w:r>
    </w:p>
    <w:p>
      <w:pPr>
        <w:spacing w:line="580" w:lineRule="exact"/>
        <w:ind w:firstLine="640" w:firstLineChars="200"/>
        <w:rPr>
          <w:rFonts w:ascii="仿宋_GB2312" w:hAnsi="Calibri" w:eastAsia="仿宋_GB2312" w:cs="Arial Black"/>
          <w:kern w:val="0"/>
          <w:sz w:val="32"/>
          <w:szCs w:val="32"/>
        </w:rPr>
      </w:pPr>
      <w:r>
        <w:rPr>
          <w:rFonts w:hint="eastAsia" w:ascii="仿宋_GB2312" w:hAnsi="Calibri" w:eastAsia="仿宋_GB2312" w:cs="Arial Black"/>
          <w:kern w:val="0"/>
          <w:sz w:val="32"/>
          <w:szCs w:val="32"/>
        </w:rPr>
        <w:t>从决算编报单位构成看，纳入20</w:t>
      </w:r>
      <w:r>
        <w:rPr>
          <w:rFonts w:ascii="仿宋_GB2312" w:hAnsi="Calibri" w:eastAsia="仿宋_GB2312" w:cs="Arial Black"/>
          <w:kern w:val="0"/>
          <w:sz w:val="32"/>
          <w:szCs w:val="32"/>
        </w:rPr>
        <w:t>20</w:t>
      </w:r>
      <w:r>
        <w:rPr>
          <w:rFonts w:hint="eastAsia" w:ascii="仿宋_GB2312" w:hAnsi="Calibri" w:eastAsia="仿宋_GB2312" w:cs="Arial Black"/>
          <w:kern w:val="0"/>
          <w:sz w:val="32"/>
          <w:szCs w:val="32"/>
        </w:rPr>
        <w:t>年度本部门决算汇编范围的独立核算单位（以下简称“单位”）共  个，具体情况如下：</w:t>
      </w:r>
    </w:p>
    <w:tbl>
      <w:tblPr>
        <w:tblStyle w:val="7"/>
        <w:tblpPr w:leftFromText="180" w:rightFromText="180" w:vertAnchor="text" w:horzAnchor="page" w:tblpXSpec="center" w:tblpY="10"/>
        <w:tblOverlap w:val="never"/>
        <w:tblW w:w="9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637"/>
        <w:gridCol w:w="2287"/>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886"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序号</w:t>
            </w:r>
          </w:p>
        </w:tc>
        <w:tc>
          <w:tcPr>
            <w:tcW w:w="3637"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单位名称</w:t>
            </w:r>
          </w:p>
        </w:tc>
        <w:tc>
          <w:tcPr>
            <w:tcW w:w="2287"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单位基本性质</w:t>
            </w:r>
          </w:p>
        </w:tc>
        <w:tc>
          <w:tcPr>
            <w:tcW w:w="2627" w:type="dxa"/>
            <w:vAlign w:val="center"/>
          </w:tcPr>
          <w:p>
            <w:pPr>
              <w:spacing w:line="560" w:lineRule="exact"/>
              <w:jc w:val="center"/>
              <w:rPr>
                <w:rFonts w:ascii="仿宋_GB2312" w:hAnsi="Calibri" w:eastAsia="仿宋_GB2312" w:cs="Arial Black"/>
                <w:b/>
                <w:bCs/>
                <w:kern w:val="0"/>
                <w:sz w:val="28"/>
                <w:szCs w:val="28"/>
              </w:rPr>
            </w:pPr>
            <w:r>
              <w:rPr>
                <w:rFonts w:hint="eastAsia" w:ascii="仿宋_GB2312" w:hAnsi="Calibri" w:eastAsia="仿宋_GB2312" w:cs="Arial Black"/>
                <w:b/>
                <w:bCs/>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6"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1</w:t>
            </w:r>
          </w:p>
        </w:tc>
        <w:tc>
          <w:tcPr>
            <w:tcW w:w="3637" w:type="dxa"/>
          </w:tcPr>
          <w:p>
            <w:pPr>
              <w:spacing w:line="560" w:lineRule="exact"/>
              <w:rPr>
                <w:rFonts w:ascii="仿宋_GB2312" w:hAnsi="Calibri" w:eastAsia="仿宋_GB2312" w:cs="Arial Black"/>
                <w:kern w:val="0"/>
                <w:sz w:val="28"/>
                <w:szCs w:val="28"/>
              </w:rPr>
            </w:pPr>
            <w:r>
              <w:rPr>
                <w:rFonts w:hint="eastAsia" w:ascii="仿宋_GB2312" w:hAnsi="Calibri" w:eastAsia="仿宋_GB2312" w:cs="Arial Black"/>
                <w:kern w:val="0"/>
                <w:sz w:val="24"/>
                <w:szCs w:val="24"/>
                <w:lang w:eastAsia="zh-CN"/>
              </w:rPr>
              <w:t>承德高新区教育体育局</w:t>
            </w:r>
          </w:p>
        </w:tc>
        <w:tc>
          <w:tcPr>
            <w:tcW w:w="2287" w:type="dxa"/>
          </w:tcPr>
          <w:p>
            <w:pPr>
              <w:spacing w:line="560" w:lineRule="exact"/>
              <w:jc w:val="center"/>
              <w:rPr>
                <w:rFonts w:ascii="仿宋_GB2312" w:hAnsi="Calibri" w:eastAsia="仿宋_GB2312" w:cs="Arial Black"/>
                <w:kern w:val="0"/>
                <w:sz w:val="24"/>
                <w:szCs w:val="24"/>
              </w:rPr>
            </w:pPr>
            <w:r>
              <w:rPr>
                <w:rFonts w:hint="eastAsia" w:ascii="仿宋_GB2312" w:hAnsi="Calibri" w:eastAsia="仿宋_GB2312" w:cs="Arial Black"/>
                <w:kern w:val="0"/>
                <w:sz w:val="24"/>
                <w:szCs w:val="24"/>
              </w:rPr>
              <w:t>行政单位</w:t>
            </w:r>
          </w:p>
        </w:tc>
        <w:tc>
          <w:tcPr>
            <w:tcW w:w="2627" w:type="dxa"/>
          </w:tcPr>
          <w:p>
            <w:pPr>
              <w:spacing w:line="560" w:lineRule="exact"/>
              <w:jc w:val="center"/>
              <w:rPr>
                <w:rFonts w:ascii="仿宋_GB2312" w:hAnsi="Calibri" w:eastAsia="仿宋_GB2312" w:cs="Arial Black"/>
                <w:kern w:val="0"/>
                <w:sz w:val="24"/>
                <w:szCs w:val="24"/>
              </w:rPr>
            </w:pPr>
            <w:r>
              <w:rPr>
                <w:rFonts w:hint="eastAsia" w:ascii="仿宋_GB2312" w:hAnsi="宋体" w:eastAsia="仿宋_GB2312" w:cs="宋体"/>
                <w:kern w:val="0"/>
                <w:sz w:val="24"/>
                <w:szCs w:val="24"/>
              </w:rPr>
              <w:t>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6" w:type="dxa"/>
          </w:tcPr>
          <w:p>
            <w:pPr>
              <w:spacing w:line="560" w:lineRule="exact"/>
              <w:jc w:val="center"/>
              <w:rPr>
                <w:rFonts w:ascii="仿宋_GB2312" w:hAnsi="Calibri" w:eastAsia="仿宋_GB2312" w:cs="Arial Black"/>
                <w:kern w:val="0"/>
                <w:sz w:val="28"/>
                <w:szCs w:val="28"/>
              </w:rPr>
            </w:pPr>
            <w:r>
              <w:rPr>
                <w:rFonts w:hint="eastAsia" w:ascii="仿宋_GB2312" w:hAnsi="Calibri" w:eastAsia="仿宋_GB2312" w:cs="Arial Black"/>
                <w:kern w:val="0"/>
                <w:sz w:val="28"/>
                <w:szCs w:val="28"/>
              </w:rPr>
              <w:t>2</w:t>
            </w:r>
          </w:p>
        </w:tc>
        <w:tc>
          <w:tcPr>
            <w:tcW w:w="3637" w:type="dxa"/>
          </w:tcPr>
          <w:p>
            <w:pPr>
              <w:spacing w:line="560" w:lineRule="exact"/>
              <w:rPr>
                <w:rFonts w:hint="eastAsia" w:ascii="仿宋_GB2312" w:hAnsi="Calibri" w:eastAsia="仿宋_GB2312" w:cs="Arial Black"/>
                <w:kern w:val="0"/>
                <w:sz w:val="24"/>
                <w:szCs w:val="24"/>
                <w:lang w:eastAsia="zh-CN"/>
              </w:rPr>
            </w:pPr>
            <w:r>
              <w:rPr>
                <w:rFonts w:hint="eastAsia" w:ascii="仿宋_GB2312" w:hAnsi="Calibri" w:eastAsia="仿宋_GB2312" w:cs="Arial Black"/>
                <w:kern w:val="0"/>
                <w:sz w:val="24"/>
                <w:szCs w:val="24"/>
                <w:lang w:eastAsia="zh-CN"/>
              </w:rPr>
              <w:t>承德高新区一中</w:t>
            </w:r>
          </w:p>
        </w:tc>
        <w:tc>
          <w:tcPr>
            <w:tcW w:w="2287" w:type="dxa"/>
          </w:tcPr>
          <w:p>
            <w:pPr>
              <w:spacing w:line="560" w:lineRule="exact"/>
              <w:jc w:val="center"/>
              <w:rPr>
                <w:rFonts w:ascii="仿宋_GB2312" w:hAnsi="Calibri" w:eastAsia="仿宋_GB2312" w:cs="Arial Black"/>
                <w:kern w:val="0"/>
                <w:sz w:val="24"/>
                <w:szCs w:val="24"/>
              </w:rPr>
            </w:pPr>
            <w:r>
              <w:rPr>
                <w:rFonts w:hint="eastAsia" w:ascii="仿宋_GB2312" w:hAnsi="Cambria" w:eastAsia="仿宋_GB2312" w:cs="ArialUnicodeMS"/>
                <w:kern w:val="0"/>
                <w:sz w:val="24"/>
                <w:szCs w:val="24"/>
              </w:rPr>
              <w:t>财政补助事业单位</w:t>
            </w:r>
          </w:p>
        </w:tc>
        <w:tc>
          <w:tcPr>
            <w:tcW w:w="2627" w:type="dxa"/>
          </w:tcPr>
          <w:p>
            <w:pPr>
              <w:spacing w:line="560" w:lineRule="exact"/>
              <w:jc w:val="center"/>
              <w:rPr>
                <w:rFonts w:ascii="仿宋_GB2312" w:hAnsi="Calibri" w:eastAsia="仿宋_GB2312" w:cs="Arial Black"/>
                <w:kern w:val="0"/>
                <w:sz w:val="24"/>
                <w:szCs w:val="24"/>
              </w:rPr>
            </w:pPr>
            <w:r>
              <w:rPr>
                <w:rFonts w:hint="eastAsia" w:ascii="仿宋_GB2312" w:hAnsi="宋体" w:eastAsia="仿宋_GB2312" w:cs="宋体"/>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6" w:type="dxa"/>
          </w:tcPr>
          <w:p>
            <w:pPr>
              <w:spacing w:line="560" w:lineRule="exact"/>
              <w:jc w:val="center"/>
              <w:rPr>
                <w:rFonts w:hint="eastAsia" w:ascii="仿宋_GB2312" w:hAnsi="Calibri" w:eastAsia="仿宋_GB2312" w:cs="Arial Black"/>
                <w:kern w:val="0"/>
                <w:sz w:val="28"/>
                <w:szCs w:val="28"/>
                <w:lang w:val="en-US" w:eastAsia="zh-CN"/>
              </w:rPr>
            </w:pPr>
            <w:r>
              <w:rPr>
                <w:rFonts w:hint="eastAsia" w:ascii="仿宋_GB2312" w:hAnsi="Calibri" w:eastAsia="仿宋_GB2312" w:cs="Arial Black"/>
                <w:kern w:val="0"/>
                <w:sz w:val="28"/>
                <w:szCs w:val="28"/>
                <w:lang w:val="en-US" w:eastAsia="zh-CN"/>
              </w:rPr>
              <w:t>3</w:t>
            </w:r>
          </w:p>
        </w:tc>
        <w:tc>
          <w:tcPr>
            <w:tcW w:w="3637" w:type="dxa"/>
          </w:tcPr>
          <w:p>
            <w:pPr>
              <w:spacing w:line="560" w:lineRule="exact"/>
              <w:rPr>
                <w:rFonts w:hint="default" w:ascii="仿宋_GB2312" w:hAnsi="Calibri" w:eastAsia="仿宋_GB2312" w:cs="Arial Black"/>
                <w:kern w:val="0"/>
                <w:sz w:val="24"/>
                <w:szCs w:val="24"/>
                <w:lang w:val="en-US" w:eastAsia="zh-CN"/>
              </w:rPr>
            </w:pPr>
            <w:r>
              <w:rPr>
                <w:rFonts w:hint="eastAsia" w:ascii="仿宋_GB2312" w:hAnsi="Calibri" w:eastAsia="仿宋_GB2312" w:cs="Arial Black"/>
                <w:kern w:val="0"/>
                <w:sz w:val="24"/>
                <w:szCs w:val="24"/>
                <w:lang w:eastAsia="zh-CN"/>
              </w:rPr>
              <w:t>承德高新区上板城初中</w:t>
            </w:r>
          </w:p>
        </w:tc>
        <w:tc>
          <w:tcPr>
            <w:tcW w:w="2287" w:type="dxa"/>
          </w:tcPr>
          <w:p>
            <w:pPr>
              <w:spacing w:line="560" w:lineRule="exact"/>
              <w:jc w:val="center"/>
              <w:rPr>
                <w:rFonts w:ascii="仿宋_GB2312" w:hAnsi="Calibri" w:eastAsia="仿宋_GB2312" w:cs="Arial Black"/>
                <w:kern w:val="0"/>
                <w:sz w:val="24"/>
                <w:szCs w:val="24"/>
              </w:rPr>
            </w:pPr>
            <w:r>
              <w:rPr>
                <w:rFonts w:hint="eastAsia" w:ascii="仿宋_GB2312" w:hAnsi="Cambria" w:eastAsia="仿宋_GB2312" w:cs="ArialUnicodeMS"/>
                <w:kern w:val="0"/>
                <w:sz w:val="24"/>
                <w:szCs w:val="24"/>
              </w:rPr>
              <w:t>财政补助事业单位</w:t>
            </w:r>
          </w:p>
        </w:tc>
        <w:tc>
          <w:tcPr>
            <w:tcW w:w="2627" w:type="dxa"/>
          </w:tcPr>
          <w:p>
            <w:pPr>
              <w:spacing w:line="560" w:lineRule="exact"/>
              <w:jc w:val="center"/>
              <w:rPr>
                <w:rFonts w:ascii="仿宋_GB2312" w:hAnsi="Calibri" w:eastAsia="仿宋_GB2312" w:cs="Arial Black"/>
                <w:kern w:val="0"/>
                <w:sz w:val="24"/>
                <w:szCs w:val="24"/>
              </w:rPr>
            </w:pPr>
            <w:r>
              <w:rPr>
                <w:rFonts w:hint="eastAsia" w:ascii="仿宋_GB2312" w:hAnsi="宋体" w:eastAsia="仿宋_GB2312" w:cs="宋体"/>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6" w:type="dxa"/>
          </w:tcPr>
          <w:p>
            <w:pPr>
              <w:spacing w:line="560" w:lineRule="exact"/>
              <w:jc w:val="center"/>
              <w:rPr>
                <w:rFonts w:hint="eastAsia" w:ascii="仿宋_GB2312" w:hAnsi="Calibri" w:eastAsia="仿宋_GB2312" w:cs="Arial Black"/>
                <w:kern w:val="0"/>
                <w:sz w:val="28"/>
                <w:szCs w:val="28"/>
                <w:lang w:val="en-US" w:eastAsia="zh-CN"/>
              </w:rPr>
            </w:pPr>
            <w:r>
              <w:rPr>
                <w:rFonts w:hint="eastAsia" w:ascii="仿宋_GB2312" w:hAnsi="Calibri" w:eastAsia="仿宋_GB2312" w:cs="Arial Black"/>
                <w:kern w:val="0"/>
                <w:sz w:val="28"/>
                <w:szCs w:val="28"/>
                <w:lang w:val="en-US" w:eastAsia="zh-CN"/>
              </w:rPr>
              <w:t>4</w:t>
            </w:r>
          </w:p>
        </w:tc>
        <w:tc>
          <w:tcPr>
            <w:tcW w:w="3637" w:type="dxa"/>
          </w:tcPr>
          <w:p>
            <w:pPr>
              <w:spacing w:line="560" w:lineRule="exact"/>
              <w:rPr>
                <w:rFonts w:hint="eastAsia" w:ascii="仿宋_GB2312" w:hAnsi="Calibri" w:eastAsia="仿宋_GB2312" w:cs="Arial Black"/>
                <w:kern w:val="0"/>
                <w:sz w:val="24"/>
                <w:szCs w:val="24"/>
                <w:lang w:eastAsia="zh-CN"/>
              </w:rPr>
            </w:pPr>
            <w:r>
              <w:rPr>
                <w:rFonts w:hint="eastAsia" w:ascii="仿宋_GB2312" w:hAnsi="Calibri" w:eastAsia="仿宋_GB2312" w:cs="Arial Black"/>
                <w:kern w:val="0"/>
                <w:sz w:val="24"/>
                <w:szCs w:val="24"/>
                <w:lang w:eastAsia="zh-CN"/>
              </w:rPr>
              <w:t>承德高新区冯营子初中</w:t>
            </w:r>
          </w:p>
        </w:tc>
        <w:tc>
          <w:tcPr>
            <w:tcW w:w="2287" w:type="dxa"/>
          </w:tcPr>
          <w:p>
            <w:pPr>
              <w:spacing w:line="560" w:lineRule="exact"/>
              <w:jc w:val="center"/>
              <w:rPr>
                <w:rFonts w:ascii="仿宋_GB2312" w:hAnsi="Calibri" w:eastAsia="仿宋_GB2312" w:cs="Arial Black"/>
                <w:kern w:val="0"/>
                <w:sz w:val="24"/>
                <w:szCs w:val="24"/>
              </w:rPr>
            </w:pPr>
            <w:r>
              <w:rPr>
                <w:rFonts w:hint="eastAsia" w:ascii="仿宋_GB2312" w:hAnsi="Cambria" w:eastAsia="仿宋_GB2312" w:cs="ArialUnicodeMS"/>
                <w:kern w:val="0"/>
                <w:sz w:val="24"/>
                <w:szCs w:val="24"/>
              </w:rPr>
              <w:t>财政补助事业单位</w:t>
            </w:r>
          </w:p>
        </w:tc>
        <w:tc>
          <w:tcPr>
            <w:tcW w:w="2627" w:type="dxa"/>
          </w:tcPr>
          <w:p>
            <w:pPr>
              <w:spacing w:line="560" w:lineRule="exact"/>
              <w:jc w:val="center"/>
              <w:rPr>
                <w:rFonts w:ascii="仿宋_GB2312" w:hAnsi="Calibri" w:eastAsia="仿宋_GB2312" w:cs="Arial Black"/>
                <w:kern w:val="0"/>
                <w:sz w:val="24"/>
                <w:szCs w:val="24"/>
              </w:rPr>
            </w:pPr>
            <w:r>
              <w:rPr>
                <w:rFonts w:hint="eastAsia" w:ascii="仿宋_GB2312" w:hAnsi="宋体" w:eastAsia="仿宋_GB2312" w:cs="宋体"/>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6" w:type="dxa"/>
          </w:tcPr>
          <w:p>
            <w:pPr>
              <w:spacing w:line="560" w:lineRule="exact"/>
              <w:jc w:val="center"/>
              <w:rPr>
                <w:rFonts w:hint="eastAsia" w:ascii="仿宋_GB2312" w:hAnsi="Calibri" w:eastAsia="仿宋_GB2312" w:cs="Arial Black"/>
                <w:kern w:val="0"/>
                <w:sz w:val="28"/>
                <w:szCs w:val="28"/>
                <w:lang w:val="en-US" w:eastAsia="zh-CN"/>
              </w:rPr>
            </w:pPr>
            <w:r>
              <w:rPr>
                <w:rFonts w:hint="eastAsia" w:ascii="仿宋_GB2312" w:hAnsi="Calibri" w:eastAsia="仿宋_GB2312" w:cs="Arial Black"/>
                <w:kern w:val="0"/>
                <w:sz w:val="28"/>
                <w:szCs w:val="28"/>
                <w:lang w:val="en-US" w:eastAsia="zh-CN"/>
              </w:rPr>
              <w:t>5</w:t>
            </w:r>
          </w:p>
        </w:tc>
        <w:tc>
          <w:tcPr>
            <w:tcW w:w="3637" w:type="dxa"/>
          </w:tcPr>
          <w:p>
            <w:pPr>
              <w:spacing w:line="560" w:lineRule="exact"/>
              <w:rPr>
                <w:rFonts w:hint="eastAsia" w:ascii="仿宋_GB2312" w:hAnsi="Calibri" w:eastAsia="仿宋_GB2312" w:cs="Arial Black"/>
                <w:kern w:val="0"/>
                <w:sz w:val="24"/>
                <w:szCs w:val="24"/>
                <w:lang w:eastAsia="zh-CN"/>
              </w:rPr>
            </w:pPr>
            <w:r>
              <w:rPr>
                <w:rFonts w:hint="eastAsia" w:ascii="仿宋_GB2312" w:hAnsi="Calibri" w:eastAsia="仿宋_GB2312" w:cs="Arial Black"/>
                <w:kern w:val="0"/>
                <w:sz w:val="24"/>
                <w:szCs w:val="24"/>
                <w:lang w:eastAsia="zh-CN"/>
              </w:rPr>
              <w:t>承德高新区上板城镇小学</w:t>
            </w:r>
          </w:p>
        </w:tc>
        <w:tc>
          <w:tcPr>
            <w:tcW w:w="2287" w:type="dxa"/>
          </w:tcPr>
          <w:p>
            <w:pPr>
              <w:spacing w:line="560" w:lineRule="exact"/>
              <w:jc w:val="center"/>
              <w:rPr>
                <w:rFonts w:ascii="仿宋_GB2312" w:hAnsi="Calibri" w:eastAsia="仿宋_GB2312" w:cs="Arial Black"/>
                <w:kern w:val="0"/>
                <w:sz w:val="24"/>
                <w:szCs w:val="24"/>
              </w:rPr>
            </w:pPr>
            <w:r>
              <w:rPr>
                <w:rFonts w:hint="eastAsia" w:ascii="仿宋_GB2312" w:hAnsi="Cambria" w:eastAsia="仿宋_GB2312" w:cs="ArialUnicodeMS"/>
                <w:kern w:val="0"/>
                <w:sz w:val="24"/>
                <w:szCs w:val="24"/>
              </w:rPr>
              <w:t>财政补助事业单位</w:t>
            </w:r>
          </w:p>
        </w:tc>
        <w:tc>
          <w:tcPr>
            <w:tcW w:w="2627" w:type="dxa"/>
          </w:tcPr>
          <w:p>
            <w:pPr>
              <w:spacing w:line="560" w:lineRule="exact"/>
              <w:jc w:val="center"/>
              <w:rPr>
                <w:rFonts w:ascii="仿宋_GB2312" w:hAnsi="Calibri" w:eastAsia="仿宋_GB2312" w:cs="Arial Black"/>
                <w:kern w:val="0"/>
                <w:sz w:val="24"/>
                <w:szCs w:val="24"/>
              </w:rPr>
            </w:pPr>
            <w:r>
              <w:rPr>
                <w:rFonts w:hint="eastAsia" w:ascii="仿宋_GB2312" w:hAnsi="宋体" w:eastAsia="仿宋_GB2312" w:cs="宋体"/>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6" w:type="dxa"/>
          </w:tcPr>
          <w:p>
            <w:pPr>
              <w:spacing w:line="560" w:lineRule="exact"/>
              <w:jc w:val="center"/>
              <w:rPr>
                <w:rFonts w:hint="eastAsia" w:ascii="仿宋_GB2312" w:hAnsi="Calibri" w:eastAsia="仿宋_GB2312" w:cs="Arial Black"/>
                <w:kern w:val="0"/>
                <w:sz w:val="28"/>
                <w:szCs w:val="28"/>
                <w:lang w:val="en-US" w:eastAsia="zh-CN"/>
              </w:rPr>
            </w:pPr>
            <w:r>
              <w:rPr>
                <w:rFonts w:hint="eastAsia" w:ascii="仿宋_GB2312" w:hAnsi="Calibri" w:eastAsia="仿宋_GB2312" w:cs="Arial Black"/>
                <w:kern w:val="0"/>
                <w:sz w:val="28"/>
                <w:szCs w:val="28"/>
                <w:lang w:val="en-US" w:eastAsia="zh-CN"/>
              </w:rPr>
              <w:t>6</w:t>
            </w:r>
          </w:p>
        </w:tc>
        <w:tc>
          <w:tcPr>
            <w:tcW w:w="3637" w:type="dxa"/>
          </w:tcPr>
          <w:p>
            <w:pPr>
              <w:spacing w:line="560" w:lineRule="exact"/>
              <w:rPr>
                <w:rFonts w:hint="eastAsia" w:ascii="仿宋_GB2312" w:hAnsi="Calibri" w:eastAsia="仿宋_GB2312" w:cs="Arial Black"/>
                <w:kern w:val="0"/>
                <w:sz w:val="24"/>
                <w:szCs w:val="24"/>
                <w:lang w:eastAsia="zh-CN"/>
              </w:rPr>
            </w:pPr>
            <w:r>
              <w:rPr>
                <w:rFonts w:hint="eastAsia" w:ascii="仿宋_GB2312" w:hAnsi="Calibri" w:eastAsia="仿宋_GB2312" w:cs="Arial Black"/>
                <w:kern w:val="0"/>
                <w:sz w:val="24"/>
                <w:szCs w:val="24"/>
                <w:lang w:eastAsia="zh-CN"/>
              </w:rPr>
              <w:t>承德高新区冯营子镇小学</w:t>
            </w:r>
          </w:p>
        </w:tc>
        <w:tc>
          <w:tcPr>
            <w:tcW w:w="2287" w:type="dxa"/>
          </w:tcPr>
          <w:p>
            <w:pPr>
              <w:spacing w:line="560" w:lineRule="exact"/>
              <w:jc w:val="center"/>
              <w:rPr>
                <w:rFonts w:ascii="仿宋_GB2312" w:hAnsi="Calibri" w:eastAsia="仿宋_GB2312" w:cs="Arial Black"/>
                <w:kern w:val="0"/>
                <w:sz w:val="24"/>
                <w:szCs w:val="24"/>
              </w:rPr>
            </w:pPr>
            <w:r>
              <w:rPr>
                <w:rFonts w:hint="eastAsia" w:ascii="仿宋_GB2312" w:hAnsi="Cambria" w:eastAsia="仿宋_GB2312" w:cs="ArialUnicodeMS"/>
                <w:kern w:val="0"/>
                <w:sz w:val="24"/>
                <w:szCs w:val="24"/>
              </w:rPr>
              <w:t>财政补助事业单位</w:t>
            </w:r>
          </w:p>
        </w:tc>
        <w:tc>
          <w:tcPr>
            <w:tcW w:w="2627" w:type="dxa"/>
          </w:tcPr>
          <w:p>
            <w:pPr>
              <w:spacing w:line="560" w:lineRule="exact"/>
              <w:jc w:val="center"/>
              <w:rPr>
                <w:rFonts w:ascii="仿宋_GB2312" w:hAnsi="Calibri" w:eastAsia="仿宋_GB2312" w:cs="Arial Black"/>
                <w:kern w:val="0"/>
                <w:sz w:val="24"/>
                <w:szCs w:val="24"/>
              </w:rPr>
            </w:pPr>
            <w:r>
              <w:rPr>
                <w:rFonts w:hint="eastAsia" w:ascii="仿宋_GB2312" w:hAnsi="宋体" w:eastAsia="仿宋_GB2312" w:cs="宋体"/>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86" w:type="dxa"/>
            <w:tcBorders>
              <w:bottom w:val="single" w:color="auto" w:sz="4" w:space="0"/>
            </w:tcBorders>
          </w:tcPr>
          <w:p>
            <w:pPr>
              <w:spacing w:line="560" w:lineRule="exact"/>
              <w:jc w:val="center"/>
              <w:rPr>
                <w:rFonts w:hint="default" w:ascii="仿宋_GB2312" w:hAnsi="Calibri" w:eastAsia="仿宋_GB2312" w:cs="Arial Black"/>
                <w:kern w:val="0"/>
                <w:sz w:val="28"/>
                <w:szCs w:val="28"/>
                <w:lang w:val="en-US" w:eastAsia="zh-CN"/>
              </w:rPr>
            </w:pPr>
            <w:r>
              <w:rPr>
                <w:rFonts w:hint="eastAsia" w:ascii="仿宋_GB2312" w:hAnsi="Calibri" w:eastAsia="仿宋_GB2312" w:cs="Arial Black"/>
                <w:kern w:val="0"/>
                <w:sz w:val="28"/>
                <w:szCs w:val="28"/>
                <w:lang w:val="en-US" w:eastAsia="zh-CN"/>
              </w:rPr>
              <w:t>7</w:t>
            </w:r>
          </w:p>
        </w:tc>
        <w:tc>
          <w:tcPr>
            <w:tcW w:w="3637" w:type="dxa"/>
            <w:tcBorders>
              <w:bottom w:val="single" w:color="auto" w:sz="4" w:space="0"/>
            </w:tcBorders>
          </w:tcPr>
          <w:p>
            <w:pPr>
              <w:spacing w:line="560" w:lineRule="exact"/>
              <w:rPr>
                <w:rFonts w:hint="eastAsia" w:ascii="仿宋_GB2312" w:hAnsi="Calibri" w:eastAsia="仿宋_GB2312" w:cs="Arial Black"/>
                <w:kern w:val="0"/>
                <w:sz w:val="24"/>
                <w:szCs w:val="24"/>
                <w:lang w:eastAsia="zh-CN"/>
              </w:rPr>
            </w:pPr>
            <w:r>
              <w:rPr>
                <w:rFonts w:hint="eastAsia" w:ascii="仿宋_GB2312" w:hAnsi="Calibri" w:eastAsia="仿宋_GB2312" w:cs="Arial Black"/>
                <w:kern w:val="0"/>
                <w:sz w:val="24"/>
                <w:szCs w:val="24"/>
                <w:lang w:eastAsia="zh-CN"/>
              </w:rPr>
              <w:t>承德高新区阳光四季小学</w:t>
            </w:r>
          </w:p>
        </w:tc>
        <w:tc>
          <w:tcPr>
            <w:tcW w:w="2287" w:type="dxa"/>
            <w:tcBorders>
              <w:bottom w:val="single" w:color="auto" w:sz="4" w:space="0"/>
            </w:tcBorders>
          </w:tcPr>
          <w:p>
            <w:pPr>
              <w:spacing w:line="560" w:lineRule="exact"/>
              <w:jc w:val="center"/>
              <w:rPr>
                <w:rFonts w:ascii="仿宋_GB2312" w:hAnsi="Calibri" w:eastAsia="仿宋_GB2312" w:cs="Arial Black"/>
                <w:kern w:val="0"/>
                <w:sz w:val="24"/>
                <w:szCs w:val="24"/>
              </w:rPr>
            </w:pPr>
            <w:r>
              <w:rPr>
                <w:rFonts w:hint="eastAsia" w:ascii="仿宋_GB2312" w:hAnsi="Cambria" w:eastAsia="仿宋_GB2312" w:cs="ArialUnicodeMS"/>
                <w:kern w:val="0"/>
                <w:sz w:val="24"/>
                <w:szCs w:val="24"/>
              </w:rPr>
              <w:t>财政补助事业单位</w:t>
            </w:r>
          </w:p>
        </w:tc>
        <w:tc>
          <w:tcPr>
            <w:tcW w:w="2627" w:type="dxa"/>
            <w:tcBorders>
              <w:bottom w:val="single" w:color="auto" w:sz="4" w:space="0"/>
            </w:tcBorders>
          </w:tcPr>
          <w:p>
            <w:pPr>
              <w:spacing w:line="560" w:lineRule="exact"/>
              <w:jc w:val="center"/>
              <w:rPr>
                <w:rFonts w:ascii="仿宋_GB2312" w:hAnsi="Calibri" w:eastAsia="仿宋_GB2312" w:cs="Arial Black"/>
                <w:kern w:val="0"/>
                <w:sz w:val="24"/>
                <w:szCs w:val="24"/>
              </w:rPr>
            </w:pPr>
            <w:r>
              <w:rPr>
                <w:rFonts w:hint="eastAsia" w:ascii="仿宋_GB2312" w:hAnsi="宋体" w:eastAsia="仿宋_GB2312" w:cs="宋体"/>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86" w:type="dxa"/>
            <w:tcBorders>
              <w:bottom w:val="single" w:color="auto" w:sz="4" w:space="0"/>
            </w:tcBorders>
          </w:tcPr>
          <w:p>
            <w:pPr>
              <w:spacing w:line="560" w:lineRule="exact"/>
              <w:jc w:val="center"/>
              <w:rPr>
                <w:rFonts w:hint="default" w:ascii="仿宋_GB2312" w:hAnsi="Calibri" w:eastAsia="仿宋_GB2312" w:cs="Arial Black"/>
                <w:kern w:val="0"/>
                <w:sz w:val="28"/>
                <w:szCs w:val="28"/>
                <w:lang w:val="en-US" w:eastAsia="zh-CN"/>
              </w:rPr>
            </w:pPr>
            <w:r>
              <w:rPr>
                <w:rFonts w:hint="eastAsia" w:ascii="仿宋_GB2312" w:hAnsi="Calibri" w:eastAsia="仿宋_GB2312" w:cs="Arial Black"/>
                <w:kern w:val="0"/>
                <w:sz w:val="28"/>
                <w:szCs w:val="28"/>
                <w:lang w:val="en-US" w:eastAsia="zh-CN"/>
              </w:rPr>
              <w:t>8</w:t>
            </w:r>
          </w:p>
        </w:tc>
        <w:tc>
          <w:tcPr>
            <w:tcW w:w="3637" w:type="dxa"/>
            <w:tcBorders>
              <w:bottom w:val="single" w:color="auto" w:sz="4" w:space="0"/>
            </w:tcBorders>
          </w:tcPr>
          <w:p>
            <w:pPr>
              <w:spacing w:line="560" w:lineRule="exact"/>
              <w:rPr>
                <w:rFonts w:hint="eastAsia" w:ascii="仿宋_GB2312" w:hAnsi="Calibri" w:eastAsia="仿宋_GB2312" w:cs="Arial Black"/>
                <w:kern w:val="0"/>
                <w:sz w:val="24"/>
                <w:szCs w:val="24"/>
                <w:lang w:eastAsia="zh-CN"/>
              </w:rPr>
            </w:pPr>
            <w:r>
              <w:rPr>
                <w:rFonts w:hint="eastAsia" w:ascii="仿宋_GB2312" w:hAnsi="Calibri" w:eastAsia="仿宋_GB2312" w:cs="Arial Black"/>
                <w:kern w:val="0"/>
                <w:sz w:val="24"/>
                <w:szCs w:val="24"/>
                <w:lang w:eastAsia="zh-CN"/>
              </w:rPr>
              <w:t>承德高新区凤凰山小学</w:t>
            </w:r>
          </w:p>
        </w:tc>
        <w:tc>
          <w:tcPr>
            <w:tcW w:w="2287" w:type="dxa"/>
            <w:tcBorders>
              <w:bottom w:val="single" w:color="auto" w:sz="4" w:space="0"/>
            </w:tcBorders>
          </w:tcPr>
          <w:p>
            <w:pPr>
              <w:spacing w:line="560" w:lineRule="exact"/>
              <w:jc w:val="center"/>
              <w:rPr>
                <w:rFonts w:ascii="仿宋_GB2312" w:hAnsi="Calibri" w:eastAsia="仿宋_GB2312" w:cs="Arial Black"/>
                <w:kern w:val="0"/>
                <w:sz w:val="24"/>
                <w:szCs w:val="24"/>
              </w:rPr>
            </w:pPr>
            <w:r>
              <w:rPr>
                <w:rFonts w:hint="eastAsia" w:ascii="仿宋_GB2312" w:hAnsi="Cambria" w:eastAsia="仿宋_GB2312" w:cs="ArialUnicodeMS"/>
                <w:kern w:val="0"/>
                <w:sz w:val="24"/>
                <w:szCs w:val="24"/>
              </w:rPr>
              <w:t>财政补助事业单位</w:t>
            </w:r>
          </w:p>
        </w:tc>
        <w:tc>
          <w:tcPr>
            <w:tcW w:w="2627" w:type="dxa"/>
            <w:tcBorders>
              <w:bottom w:val="single" w:color="auto" w:sz="4" w:space="0"/>
            </w:tcBorders>
          </w:tcPr>
          <w:p>
            <w:pPr>
              <w:spacing w:line="560" w:lineRule="exact"/>
              <w:jc w:val="center"/>
              <w:rPr>
                <w:rFonts w:ascii="仿宋_GB2312" w:hAnsi="Calibri" w:eastAsia="仿宋_GB2312" w:cs="Arial Black"/>
                <w:kern w:val="0"/>
                <w:sz w:val="24"/>
                <w:szCs w:val="24"/>
              </w:rPr>
            </w:pPr>
            <w:r>
              <w:rPr>
                <w:rFonts w:hint="eastAsia" w:ascii="仿宋_GB2312" w:hAnsi="宋体" w:eastAsia="仿宋_GB2312" w:cs="宋体"/>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86" w:type="dxa"/>
            <w:tcBorders>
              <w:bottom w:val="single" w:color="auto" w:sz="4" w:space="0"/>
            </w:tcBorders>
          </w:tcPr>
          <w:p>
            <w:pPr>
              <w:spacing w:line="560" w:lineRule="exact"/>
              <w:jc w:val="center"/>
              <w:rPr>
                <w:rFonts w:hint="default" w:ascii="仿宋_GB2312" w:hAnsi="Calibri" w:eastAsia="仿宋_GB2312" w:cs="Arial Black"/>
                <w:kern w:val="0"/>
                <w:sz w:val="28"/>
                <w:szCs w:val="28"/>
                <w:lang w:val="en-US" w:eastAsia="zh-CN"/>
              </w:rPr>
            </w:pPr>
            <w:r>
              <w:rPr>
                <w:rFonts w:hint="eastAsia" w:ascii="仿宋_GB2312" w:hAnsi="Calibri" w:eastAsia="仿宋_GB2312" w:cs="Arial Black"/>
                <w:kern w:val="0"/>
                <w:sz w:val="28"/>
                <w:szCs w:val="28"/>
                <w:lang w:val="en-US" w:eastAsia="zh-CN"/>
              </w:rPr>
              <w:t>9</w:t>
            </w:r>
          </w:p>
        </w:tc>
        <w:tc>
          <w:tcPr>
            <w:tcW w:w="3637" w:type="dxa"/>
            <w:tcBorders>
              <w:bottom w:val="single" w:color="auto" w:sz="4" w:space="0"/>
            </w:tcBorders>
          </w:tcPr>
          <w:p>
            <w:pPr>
              <w:spacing w:line="560" w:lineRule="exact"/>
              <w:rPr>
                <w:rFonts w:hint="default" w:ascii="仿宋_GB2312" w:hAnsi="Calibri" w:eastAsia="仿宋_GB2312" w:cs="Arial Black"/>
                <w:kern w:val="0"/>
                <w:sz w:val="24"/>
                <w:szCs w:val="24"/>
                <w:lang w:val="en-US" w:eastAsia="zh-CN"/>
              </w:rPr>
            </w:pPr>
            <w:r>
              <w:rPr>
                <w:rFonts w:hint="eastAsia" w:ascii="仿宋_GB2312" w:hAnsi="Calibri" w:eastAsia="仿宋_GB2312" w:cs="Arial Black"/>
                <w:kern w:val="0"/>
                <w:sz w:val="24"/>
                <w:szCs w:val="24"/>
                <w:lang w:eastAsia="zh-CN"/>
              </w:rPr>
              <w:t>承德高新区上板城镇上板城小学</w:t>
            </w:r>
          </w:p>
        </w:tc>
        <w:tc>
          <w:tcPr>
            <w:tcW w:w="2287" w:type="dxa"/>
            <w:tcBorders>
              <w:bottom w:val="single" w:color="auto" w:sz="4" w:space="0"/>
            </w:tcBorders>
          </w:tcPr>
          <w:p>
            <w:pPr>
              <w:spacing w:line="560" w:lineRule="exact"/>
              <w:jc w:val="center"/>
              <w:rPr>
                <w:rFonts w:ascii="仿宋_GB2312" w:hAnsi="Calibri" w:eastAsia="仿宋_GB2312" w:cs="Arial Black"/>
                <w:kern w:val="0"/>
                <w:sz w:val="24"/>
                <w:szCs w:val="24"/>
              </w:rPr>
            </w:pPr>
            <w:r>
              <w:rPr>
                <w:rFonts w:hint="eastAsia" w:ascii="仿宋_GB2312" w:hAnsi="Cambria" w:eastAsia="仿宋_GB2312" w:cs="ArialUnicodeMS"/>
                <w:kern w:val="0"/>
                <w:sz w:val="24"/>
                <w:szCs w:val="24"/>
              </w:rPr>
              <w:t>财政补助事业单位</w:t>
            </w:r>
          </w:p>
        </w:tc>
        <w:tc>
          <w:tcPr>
            <w:tcW w:w="2627" w:type="dxa"/>
            <w:tcBorders>
              <w:bottom w:val="single" w:color="auto" w:sz="4" w:space="0"/>
            </w:tcBorders>
          </w:tcPr>
          <w:p>
            <w:pPr>
              <w:spacing w:line="560" w:lineRule="exact"/>
              <w:jc w:val="center"/>
              <w:rPr>
                <w:rFonts w:ascii="仿宋_GB2312" w:hAnsi="Calibri" w:eastAsia="仿宋_GB2312" w:cs="Arial Black"/>
                <w:kern w:val="0"/>
                <w:sz w:val="24"/>
                <w:szCs w:val="24"/>
              </w:rPr>
            </w:pPr>
            <w:r>
              <w:rPr>
                <w:rFonts w:hint="eastAsia" w:ascii="仿宋_GB2312" w:hAnsi="宋体" w:eastAsia="仿宋_GB2312" w:cs="宋体"/>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886" w:type="dxa"/>
            <w:tcBorders>
              <w:bottom w:val="single" w:color="auto" w:sz="4" w:space="0"/>
            </w:tcBorders>
          </w:tcPr>
          <w:p>
            <w:pPr>
              <w:spacing w:line="560" w:lineRule="exact"/>
              <w:jc w:val="center"/>
              <w:rPr>
                <w:rFonts w:hint="default" w:ascii="仿宋_GB2312" w:hAnsi="Calibri" w:eastAsia="仿宋_GB2312" w:cs="Arial Black"/>
                <w:kern w:val="0"/>
                <w:sz w:val="28"/>
                <w:szCs w:val="28"/>
                <w:lang w:val="en-US" w:eastAsia="zh-CN"/>
              </w:rPr>
            </w:pPr>
            <w:r>
              <w:rPr>
                <w:rFonts w:hint="eastAsia" w:ascii="仿宋_GB2312" w:hAnsi="Calibri" w:eastAsia="仿宋_GB2312" w:cs="Arial Black"/>
                <w:kern w:val="0"/>
                <w:sz w:val="28"/>
                <w:szCs w:val="28"/>
                <w:lang w:val="en-US" w:eastAsia="zh-CN"/>
              </w:rPr>
              <w:t>10</w:t>
            </w:r>
          </w:p>
        </w:tc>
        <w:tc>
          <w:tcPr>
            <w:tcW w:w="3637" w:type="dxa"/>
            <w:tcBorders>
              <w:bottom w:val="single" w:color="auto" w:sz="4" w:space="0"/>
            </w:tcBorders>
          </w:tcPr>
          <w:p>
            <w:pPr>
              <w:spacing w:line="560" w:lineRule="exact"/>
              <w:rPr>
                <w:rFonts w:hint="eastAsia" w:ascii="仿宋_GB2312" w:hAnsi="Calibri" w:eastAsia="仿宋_GB2312" w:cs="Arial Black"/>
                <w:kern w:val="0"/>
                <w:sz w:val="24"/>
                <w:szCs w:val="24"/>
                <w:lang w:eastAsia="zh-CN"/>
              </w:rPr>
            </w:pPr>
            <w:r>
              <w:rPr>
                <w:rFonts w:hint="eastAsia" w:ascii="仿宋_GB2312" w:hAnsi="Calibri" w:eastAsia="仿宋_GB2312" w:cs="Arial Black"/>
                <w:kern w:val="0"/>
                <w:sz w:val="24"/>
                <w:szCs w:val="24"/>
                <w:lang w:eastAsia="zh-CN"/>
              </w:rPr>
              <w:t>承德高新区闫营子小学</w:t>
            </w:r>
          </w:p>
        </w:tc>
        <w:tc>
          <w:tcPr>
            <w:tcW w:w="2287" w:type="dxa"/>
            <w:tcBorders>
              <w:bottom w:val="single" w:color="auto" w:sz="4" w:space="0"/>
            </w:tcBorders>
          </w:tcPr>
          <w:p>
            <w:pPr>
              <w:spacing w:line="560" w:lineRule="exact"/>
              <w:jc w:val="center"/>
              <w:rPr>
                <w:rFonts w:ascii="仿宋_GB2312" w:hAnsi="Calibri" w:eastAsia="仿宋_GB2312" w:cs="Arial Black"/>
                <w:kern w:val="0"/>
                <w:sz w:val="24"/>
                <w:szCs w:val="24"/>
              </w:rPr>
            </w:pPr>
            <w:r>
              <w:rPr>
                <w:rFonts w:hint="eastAsia" w:ascii="仿宋_GB2312" w:hAnsi="Cambria" w:eastAsia="仿宋_GB2312" w:cs="ArialUnicodeMS"/>
                <w:kern w:val="0"/>
                <w:sz w:val="24"/>
                <w:szCs w:val="24"/>
              </w:rPr>
              <w:t>财政补助事业单位</w:t>
            </w:r>
          </w:p>
        </w:tc>
        <w:tc>
          <w:tcPr>
            <w:tcW w:w="2627" w:type="dxa"/>
            <w:tcBorders>
              <w:bottom w:val="single" w:color="auto" w:sz="4" w:space="0"/>
            </w:tcBorders>
          </w:tcPr>
          <w:p>
            <w:pPr>
              <w:spacing w:line="560" w:lineRule="exact"/>
              <w:jc w:val="center"/>
              <w:rPr>
                <w:rFonts w:ascii="仿宋_GB2312" w:hAnsi="Calibri" w:eastAsia="仿宋_GB2312" w:cs="Arial Black"/>
                <w:kern w:val="0"/>
                <w:sz w:val="24"/>
                <w:szCs w:val="24"/>
              </w:rPr>
            </w:pPr>
            <w:r>
              <w:rPr>
                <w:rFonts w:hint="eastAsia" w:ascii="仿宋_GB2312" w:hAnsi="宋体" w:eastAsia="仿宋_GB2312" w:cs="宋体"/>
                <w:kern w:val="0"/>
                <w:sz w:val="24"/>
                <w:szCs w:val="24"/>
              </w:rPr>
              <w:t>财政性资金基本保证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jc w:val="center"/>
        </w:trPr>
        <w:tc>
          <w:tcPr>
            <w:tcW w:w="9437" w:type="dxa"/>
            <w:gridSpan w:val="4"/>
            <w:tcBorders>
              <w:top w:val="single" w:color="auto" w:sz="4" w:space="0"/>
              <w:left w:val="nil"/>
              <w:bottom w:val="nil"/>
              <w:right w:val="nil"/>
            </w:tcBorders>
          </w:tcPr>
          <w:p>
            <w:pPr>
              <w:spacing w:line="560" w:lineRule="exact"/>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注：1、单位基本性质分为行政单位、参公事业单位、财政补助事业单位、经费自理事业单位四类。</w:t>
            </w:r>
          </w:p>
          <w:p>
            <w:pPr>
              <w:spacing w:line="560" w:lineRule="exact"/>
              <w:ind w:firstLine="560" w:firstLineChars="200"/>
              <w:jc w:val="left"/>
              <w:rPr>
                <w:rFonts w:ascii="仿宋_GB2312" w:hAnsi="Calibri" w:eastAsia="仿宋_GB2312" w:cs="Arial Black"/>
                <w:kern w:val="0"/>
                <w:sz w:val="28"/>
                <w:szCs w:val="28"/>
              </w:rPr>
            </w:pPr>
            <w:r>
              <w:rPr>
                <w:rFonts w:hint="eastAsia" w:ascii="仿宋_GB2312" w:hAnsi="Calibri" w:eastAsia="仿宋_GB2312" w:cs="Arial Black"/>
                <w:kern w:val="0"/>
                <w:sz w:val="28"/>
                <w:szCs w:val="28"/>
              </w:rPr>
              <w:t>2、经费形式分为财政拨款、财政性资金基本保证、财政性资金定额或定项补助、财政性资金零补助四类。</w:t>
            </w:r>
          </w:p>
        </w:tc>
      </w:tr>
    </w:tbl>
    <w:p>
      <w:pPr>
        <w:widowControl/>
        <w:spacing w:after="160" w:line="580" w:lineRule="exact"/>
        <w:rPr>
          <w:rFonts w:ascii="Times New Roman" w:hAnsi="Times New Roman" w:eastAsia="黑体" w:cs="Times New Roman"/>
          <w:sz w:val="32"/>
          <w:szCs w:val="32"/>
        </w:rPr>
        <w:sectPr>
          <w:headerReference r:id="rId7" w:type="default"/>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1312" behindDoc="0" locked="0" layoutInCell="1" allowOverlap="1">
                <wp:simplePos x="0" y="0"/>
                <wp:positionH relativeFrom="column">
                  <wp:posOffset>-1088390</wp:posOffset>
                </wp:positionH>
                <wp:positionV relativeFrom="paragraph">
                  <wp:posOffset>3024505</wp:posOffset>
                </wp:positionV>
                <wp:extent cx="7793355" cy="220027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7793355" cy="220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7pt;margin-top:238.15pt;height:173.25pt;width:613.65pt;z-index:251661312;mso-width-relative:page;mso-height-relative:page;" filled="f" stroked="f" coordsize="21600,21600" o:gfxdata="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uuj5PeAAAADQEAAA8AAAAAAAAAAQAgAAAA&#10;IgAAAGRycy9kb3ducmV2LnhtbFBLAQIUABQAAAAIAIdO4kBdpNn+PgIAAGsEAAAOAAAAAAAAAAEA&#10;IAAAAC0BAABkcnMvZTJvRG9jLnhtbFBLBQYAAAAABgAGAFkBAADdBQAAAAA=&#10;">
                <v:fill on="f" focussize="0,0"/>
                <v:stroke on="f" weight="0.5pt"/>
                <v:imagedata o:title=""/>
                <o:lock v:ext="edit" aspectratio="f"/>
                <v:textbox>
                  <w:txbxContent>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 </w:t>
                      </w:r>
                    </w:p>
                    <w:p>
                      <w:pPr>
                        <w:widowControl/>
                        <w:jc w:val="center"/>
                        <w:rPr>
                          <w:rFonts w:ascii="黑体" w:hAnsi="黑体" w:eastAsia="黑体" w:cs="黑体"/>
                          <w:color w:val="000000" w:themeColor="text1"/>
                          <w:sz w:val="96"/>
                          <w:szCs w:val="96"/>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p>
                  </w:txbxContent>
                </v:textbox>
              </v:shape>
            </w:pict>
          </mc:Fallback>
        </mc:AlternateContent>
      </w:r>
    </w:p>
    <w:p>
      <w:pPr>
        <w:widowControl/>
        <w:spacing w:line="580" w:lineRule="exact"/>
        <w:ind w:firstLine="640" w:firstLineChars="200"/>
        <w:rPr>
          <w:rFonts w:eastAsia="黑体"/>
          <w:sz w:val="32"/>
          <w:szCs w:val="3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p>
    <w:p>
      <w:pPr>
        <w:jc w:val="center"/>
        <w:rPr>
          <w:rFonts w:ascii="黑体" w:hAnsi="黑体" w:eastAsia="黑体" w:cs="黑体"/>
          <w:sz w:val="56"/>
          <w:szCs w:val="72"/>
        </w:rPr>
      </w:pPr>
      <w:r>
        <w:rPr>
          <w:sz w:val="72"/>
        </w:rPr>
        <mc:AlternateContent>
          <mc:Choice Requires="wps">
            <w:drawing>
              <wp:anchor distT="0" distB="0" distL="114300" distR="114300" simplePos="0" relativeHeight="251662336" behindDoc="0" locked="0" layoutInCell="1" allowOverlap="1">
                <wp:simplePos x="0" y="0"/>
                <wp:positionH relativeFrom="column">
                  <wp:posOffset>-1028065</wp:posOffset>
                </wp:positionH>
                <wp:positionV relativeFrom="paragraph">
                  <wp:posOffset>-2637155</wp:posOffset>
                </wp:positionV>
                <wp:extent cx="7793355" cy="3341370"/>
                <wp:effectExtent l="6350" t="6350" r="18415" b="20320"/>
                <wp:wrapNone/>
                <wp:docPr id="2" name="文本框 2"/>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chemeClr val="bg1">
                              <a:lumMod val="50000"/>
                            </a:schemeClr>
                          </a:fgClr>
                          <a:bgClr>
                            <a:schemeClr val="bg1"/>
                          </a:bgClr>
                        </a:pattFill>
                        <a:ln w="12700" cmpd="sng">
                          <a:solidFill>
                            <a:schemeClr val="bg1">
                              <a:lumMod val="65000"/>
                            </a:schemeClr>
                          </a:solidFill>
                          <a:prstDash val="solid"/>
                        </a:ln>
                      </wps:spPr>
                      <wps:style>
                        <a:lnRef idx="0">
                          <a:schemeClr val="accent1"/>
                        </a:lnRef>
                        <a:fillRef idx="0">
                          <a:schemeClr val="accent1"/>
                        </a:fillRef>
                        <a:effectRef idx="0">
                          <a:schemeClr val="accent1"/>
                        </a:effectRef>
                        <a:fontRef idx="minor">
                          <a:schemeClr val="dk1"/>
                        </a:fontRef>
                      </wps:style>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5pt;margin-top:-207.65pt;height:263.1pt;width:613.65pt;z-index:251662336;v-text-anchor:middle;mso-width-relative:page;mso-height-relative:page;" fillcolor="#7F7F7F [1612]" filled="t" stroked="t" coordsize="21600,21600" o:gfxdata="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vBcO0d0AAAAOAQAADwAAAAAAAAABACAAAAAiAAAAZHJzL2Rvd25yZXYueG1s&#10;UEsBAhQAFAAAAAgAh07iQFmkM3ieAgAAbQUAAA4AAAAAAAAAAQAgAAAALAEAAGRycy9lMm9Eb2Mu&#10;eG1sUEsFBgAAAAAGAAYAWQEAADwGAAAAAA==&#10;">
                <v:fill type="pattern" on="t" color2="#FFFFFF [3212]" o:title="5%" focussize="0,0" r:id="rId10"/>
                <v:stroke weight="1pt" color="#A6A6A6 [2092]"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第二部分 </w:t>
                      </w:r>
                    </w:p>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2020年部门决算情况说明</w:t>
                      </w:r>
                    </w:p>
                    <w:p>
                      <w:pPr>
                        <w:widowControl/>
                        <w:jc w:val="center"/>
                        <w:rPr>
                          <w14:textOutline w14:w="9525" w14:cap="flat" w14:cmpd="sng" w14:algn="ctr">
                            <w14:solidFill>
                              <w14:schemeClr w14:val="tx1">
                                <w14:lumMod w14:val="50000"/>
                                <w14:lumOff w14:val="50000"/>
                              </w14:schemeClr>
                            </w14:solidFill>
                            <w14:prstDash w14:val="solid"/>
                            <w14:round/>
                          </w14:textOutline>
                        </w:rPr>
                      </w:pPr>
                    </w:p>
                    <w:p/>
                  </w:txbxContent>
                </v:textbox>
              </v:shape>
            </w:pict>
          </mc:Fallback>
        </mc:AlternateContent>
      </w:r>
    </w:p>
    <w:p>
      <w:pPr>
        <w:jc w:val="center"/>
        <w:rPr>
          <w:rFonts w:ascii="黑体" w:hAnsi="黑体" w:eastAsia="黑体" w:cs="黑体"/>
          <w:sz w:val="56"/>
          <w:szCs w:val="72"/>
        </w:rPr>
      </w:pPr>
    </w:p>
    <w:p>
      <w:pPr>
        <w:pStyle w:val="2"/>
        <w:rPr>
          <w:rFonts w:ascii="黑体" w:hAnsi="黑体" w:eastAsia="黑体" w:cs="黑体"/>
          <w:sz w:val="56"/>
          <w:szCs w:val="72"/>
        </w:rPr>
      </w:pPr>
    </w:p>
    <w:p>
      <w:pPr>
        <w:rPr>
          <w:rFonts w:ascii="黑体" w:hAnsi="黑体" w:eastAsia="黑体" w:cs="黑体"/>
          <w:sz w:val="56"/>
          <w:szCs w:val="72"/>
        </w:rPr>
      </w:pPr>
    </w:p>
    <w:p>
      <w:pPr>
        <w:keepNext/>
        <w:keepLines/>
        <w:snapToGrid w:val="0"/>
        <w:spacing w:line="600" w:lineRule="exact"/>
        <w:ind w:firstLine="640" w:firstLineChars="200"/>
        <w:jc w:val="left"/>
        <w:outlineLvl w:val="1"/>
        <w:rPr>
          <w:rFonts w:ascii="黑体" w:hAnsi="Calibri" w:eastAsia="黑体" w:cs="Times New Roman"/>
          <w:sz w:val="32"/>
          <w:szCs w:val="32"/>
        </w:rPr>
      </w:pPr>
      <w:r>
        <w:rPr>
          <w:rFonts w:hint="eastAsia" w:ascii="黑体" w:hAnsi="Calibri" w:eastAsia="黑体" w:cs="Times New Roman"/>
          <w:sz w:val="32"/>
          <w:szCs w:val="32"/>
        </w:rPr>
        <w:t>一、收入</w:t>
      </w:r>
      <w:r>
        <w:rPr>
          <w:rFonts w:hint="eastAsia" w:ascii="黑体" w:hAnsi="Cambria" w:eastAsia="黑体" w:cs="黑体"/>
          <w:kern w:val="0"/>
          <w:sz w:val="32"/>
          <w:szCs w:val="32"/>
        </w:rPr>
        <w:t>支出</w:t>
      </w:r>
      <w:r>
        <w:rPr>
          <w:rFonts w:hint="eastAsia" w:ascii="黑体" w:hAnsi="Calibri" w:eastAsia="黑体" w:cs="Times New Roman"/>
          <w:sz w:val="32"/>
          <w:szCs w:val="32"/>
        </w:rPr>
        <w:t>决算总体情况说明</w:t>
      </w:r>
    </w:p>
    <w:p>
      <w:pPr>
        <w:adjustRightInd w:val="0"/>
        <w:snapToGrid w:val="0"/>
        <w:spacing w:line="600" w:lineRule="exact"/>
        <w:ind w:firstLine="640" w:firstLineChars="200"/>
        <w:rPr>
          <w:rFonts w:hint="default" w:ascii="仿宋_GB2312" w:hAnsi="Times New Roman" w:eastAsia="仿宋" w:cs="Wingdings"/>
          <w:sz w:val="32"/>
          <w:szCs w:val="32"/>
          <w:lang w:val="en-US" w:eastAsia="zh-CN"/>
        </w:rPr>
      </w:pPr>
      <w:r>
        <w:rPr>
          <w:rFonts w:hint="eastAsia" w:ascii="仿宋_GB2312" w:hAnsi="Times New Roman" w:eastAsia="仿宋_GB2312" w:cs="Wingdings"/>
          <w:sz w:val="32"/>
          <w:szCs w:val="32"/>
        </w:rPr>
        <w:t>本部门2020年度收</w:t>
      </w:r>
      <w:r>
        <w:rPr>
          <w:rFonts w:hint="eastAsia" w:ascii="仿宋_GB2312" w:hAnsi="Times New Roman" w:eastAsia="仿宋_GB2312" w:cs="Wingdings"/>
          <w:sz w:val="32"/>
          <w:szCs w:val="32"/>
          <w:lang w:eastAsia="zh-CN"/>
        </w:rPr>
        <w:t>入</w:t>
      </w:r>
      <w:r>
        <w:rPr>
          <w:rFonts w:hint="eastAsia" w:ascii="仿宋_GB2312" w:hAnsi="Times New Roman" w:eastAsia="仿宋_GB2312" w:cs="Wingdings"/>
          <w:sz w:val="32"/>
          <w:szCs w:val="32"/>
        </w:rPr>
        <w:t>总计（含结转和结余）</w:t>
      </w:r>
      <w:r>
        <w:rPr>
          <w:rFonts w:hint="eastAsia" w:ascii="仿宋_GB2312" w:hAnsi="Times New Roman" w:eastAsia="仿宋_GB2312" w:cs="Wingdings"/>
          <w:sz w:val="32"/>
          <w:szCs w:val="32"/>
          <w:lang w:val="en-US" w:eastAsia="zh-CN"/>
        </w:rPr>
        <w:t>30692.00</w:t>
      </w:r>
      <w:r>
        <w:rPr>
          <w:rFonts w:hint="eastAsia" w:ascii="仿宋_GB2312" w:hAnsi="Times New Roman" w:eastAsia="仿宋_GB2312" w:cs="Wingdings"/>
          <w:sz w:val="32"/>
          <w:szCs w:val="32"/>
          <w:lang w:eastAsia="zh-CN"/>
        </w:rPr>
        <w:t>万元，支出总计</w:t>
      </w:r>
      <w:r>
        <w:rPr>
          <w:rFonts w:hint="eastAsia" w:ascii="仿宋_GB2312" w:hAnsi="Times New Roman" w:eastAsia="仿宋_GB2312" w:cs="Wingdings"/>
          <w:sz w:val="32"/>
          <w:szCs w:val="32"/>
          <w:lang w:val="en-US" w:eastAsia="zh-CN"/>
        </w:rPr>
        <w:t xml:space="preserve">22218.90万元，年末结转结余8452.67万元。 </w:t>
      </w:r>
      <w:r>
        <w:rPr>
          <w:rFonts w:hint="eastAsia" w:ascii="仿宋_GB2312" w:hAnsi="Times New Roman" w:eastAsia="仿宋_GB2312" w:cs="Wingdings"/>
          <w:sz w:val="32"/>
          <w:szCs w:val="32"/>
        </w:rPr>
        <w:t>20</w:t>
      </w:r>
      <w:r>
        <w:rPr>
          <w:rFonts w:hint="eastAsia" w:ascii="仿宋_GB2312" w:hAnsi="Times New Roman" w:eastAsia="仿宋_GB2312" w:cs="Wingdings"/>
          <w:sz w:val="32"/>
          <w:szCs w:val="32"/>
          <w:lang w:val="en-US" w:eastAsia="zh-CN"/>
        </w:rPr>
        <w:t>19</w:t>
      </w:r>
      <w:r>
        <w:rPr>
          <w:rFonts w:hint="eastAsia" w:ascii="仿宋_GB2312" w:hAnsi="Times New Roman" w:eastAsia="仿宋_GB2312" w:cs="Wingdings"/>
          <w:sz w:val="32"/>
          <w:szCs w:val="32"/>
        </w:rPr>
        <w:t>年度收</w:t>
      </w:r>
      <w:r>
        <w:rPr>
          <w:rFonts w:hint="eastAsia" w:ascii="仿宋_GB2312" w:hAnsi="Times New Roman" w:eastAsia="仿宋_GB2312" w:cs="Wingdings"/>
          <w:sz w:val="32"/>
          <w:szCs w:val="32"/>
          <w:lang w:eastAsia="zh-CN"/>
        </w:rPr>
        <w:t>入</w:t>
      </w:r>
      <w:r>
        <w:rPr>
          <w:rFonts w:hint="eastAsia" w:ascii="仿宋_GB2312" w:hAnsi="Times New Roman" w:eastAsia="仿宋_GB2312" w:cs="Wingdings"/>
          <w:sz w:val="32"/>
          <w:szCs w:val="32"/>
        </w:rPr>
        <w:t>总计（含结转和结余）</w:t>
      </w:r>
      <w:r>
        <w:rPr>
          <w:rFonts w:hint="eastAsia" w:ascii="仿宋_GB2312" w:hAnsi="Times New Roman" w:eastAsia="仿宋_GB2312" w:cs="Wingdings"/>
          <w:sz w:val="32"/>
          <w:szCs w:val="32"/>
          <w:lang w:val="en-US" w:eastAsia="zh-CN"/>
        </w:rPr>
        <w:t>22949.38</w:t>
      </w:r>
      <w:r>
        <w:rPr>
          <w:rFonts w:hint="eastAsia" w:ascii="仿宋_GB2312" w:hAnsi="Times New Roman" w:eastAsia="仿宋_GB2312" w:cs="Wingdings"/>
          <w:sz w:val="32"/>
          <w:szCs w:val="32"/>
          <w:lang w:eastAsia="zh-CN"/>
        </w:rPr>
        <w:t>万元，支出总计</w:t>
      </w:r>
      <w:r>
        <w:rPr>
          <w:rFonts w:hint="eastAsia" w:ascii="仿宋_GB2312" w:hAnsi="Times New Roman" w:eastAsia="仿宋_GB2312" w:cs="Wingdings"/>
          <w:sz w:val="32"/>
          <w:szCs w:val="32"/>
          <w:lang w:val="en-US" w:eastAsia="zh-CN"/>
        </w:rPr>
        <w:t>19123.35万元。</w:t>
      </w:r>
      <w:r>
        <w:rPr>
          <w:rFonts w:hint="eastAsia" w:ascii="仿宋_GB2312" w:hAnsi="Times New Roman" w:eastAsia="仿宋_GB2312" w:cs="Wingdings"/>
          <w:sz w:val="32"/>
          <w:szCs w:val="32"/>
          <w:lang w:eastAsia="zh-CN"/>
        </w:rPr>
        <w:t>与</w:t>
      </w:r>
      <w:r>
        <w:rPr>
          <w:rFonts w:hint="eastAsia" w:ascii="仿宋_GB2312" w:hAnsi="Times New Roman" w:eastAsia="仿宋_GB2312" w:cs="Wingdings"/>
          <w:sz w:val="32"/>
          <w:szCs w:val="32"/>
          <w:lang w:val="en-US" w:eastAsia="zh-CN"/>
        </w:rPr>
        <w:t>2019年相比收入增加8473.1万元，增长36%，</w:t>
      </w:r>
      <w:r>
        <w:rPr>
          <w:rFonts w:hint="eastAsia" w:ascii="仿宋" w:hAnsi="仿宋" w:eastAsia="仿宋" w:cs="仿宋"/>
          <w:sz w:val="32"/>
          <w:szCs w:val="32"/>
        </w:rPr>
        <w:t>主要原因是年初结转结余增加</w:t>
      </w:r>
      <w:r>
        <w:rPr>
          <w:rFonts w:hint="eastAsia" w:ascii="仿宋" w:hAnsi="仿宋" w:eastAsia="仿宋" w:cs="仿宋"/>
          <w:sz w:val="32"/>
          <w:szCs w:val="32"/>
          <w:lang w:eastAsia="zh-CN"/>
        </w:rPr>
        <w:t>，支出增加</w:t>
      </w:r>
      <w:r>
        <w:rPr>
          <w:rFonts w:hint="eastAsia" w:ascii="仿宋" w:hAnsi="仿宋" w:eastAsia="仿宋" w:cs="仿宋"/>
          <w:sz w:val="32"/>
          <w:szCs w:val="32"/>
          <w:lang w:val="en-US" w:eastAsia="zh-CN"/>
        </w:rPr>
        <w:t>3095.55万元，增加16%，主要原因是建设项目增加，支付项目资金。</w:t>
      </w:r>
    </w:p>
    <w:p>
      <w:pPr>
        <w:tabs>
          <w:tab w:val="left" w:pos="2820"/>
        </w:tabs>
        <w:adjustRightInd w:val="0"/>
        <w:snapToGrid w:val="0"/>
        <w:spacing w:line="600" w:lineRule="exact"/>
        <w:ind w:firstLine="640" w:firstLineChars="200"/>
        <w:rPr>
          <w:rFonts w:hint="eastAsia" w:ascii="仿宋_GB2312" w:hAnsi="Times New Roman" w:eastAsia="仿宋_GB2312" w:cs="Wingdings"/>
          <w:sz w:val="32"/>
          <w:szCs w:val="32"/>
          <w:lang w:eastAsia="zh-CN"/>
        </w:rPr>
      </w:pPr>
      <w:r>
        <w:rPr>
          <w:rFonts w:ascii="仿宋_GB2312" w:hAnsi="Times New Roman" w:eastAsia="仿宋_GB2312" w:cs="Wingdings"/>
          <w:sz w:val="32"/>
          <w:szCs w:val="32"/>
        </w:rPr>
        <w:tab/>
      </w:r>
    </w:p>
    <w:p>
      <w:pPr>
        <w:pStyle w:val="2"/>
        <w:jc w:val="center"/>
        <w:rPr>
          <w:rFonts w:hint="eastAsia" w:ascii="仿宋_GB2312" w:hAnsi="Times New Roman" w:eastAsia="仿宋_GB2312" w:cs="Wingdings"/>
          <w:sz w:val="32"/>
          <w:szCs w:val="32"/>
          <w:lang w:eastAsia="zh-CN"/>
        </w:rPr>
      </w:pPr>
      <w:r>
        <w:rPr>
          <w:rFonts w:hint="eastAsia" w:ascii="仿宋_GB2312" w:hAnsi="Times New Roman" w:eastAsia="仿宋_GB2312" w:cs="Wingdings"/>
          <w:sz w:val="32"/>
          <w:szCs w:val="32"/>
          <w:lang w:eastAsia="zh-CN"/>
        </w:rPr>
        <w:drawing>
          <wp:inline distT="0" distB="0" distL="114300" distR="114300">
            <wp:extent cx="5031740" cy="4708525"/>
            <wp:effectExtent l="4445" t="4445" r="12065" b="1143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keepLines/>
        <w:snapToGrid w:val="0"/>
        <w:spacing w:line="600" w:lineRule="exact"/>
        <w:ind w:firstLine="640" w:firstLineChars="200"/>
        <w:jc w:val="left"/>
        <w:outlineLvl w:val="1"/>
        <w:rPr>
          <w:rFonts w:ascii="黑体" w:hAnsi="Calibri" w:eastAsia="黑体" w:cs="Times New Roman"/>
          <w:sz w:val="32"/>
          <w:szCs w:val="32"/>
        </w:rPr>
      </w:pPr>
      <w:r>
        <w:rPr>
          <w:rFonts w:hint="eastAsia" w:ascii="黑体" w:hAnsi="Calibri" w:eastAsia="黑体" w:cs="Times New Roman"/>
          <w:sz w:val="32"/>
          <w:szCs w:val="32"/>
        </w:rPr>
        <w:t>二、收入决算情况说明</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本部门2020年度本年收入合计28477</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25万元，其中：财政拨款收入</w:t>
      </w:r>
      <w:r>
        <w:rPr>
          <w:rFonts w:hint="eastAsia" w:ascii="仿宋_GB2312" w:hAnsi="Times New Roman" w:eastAsia="仿宋_GB2312" w:cs="Wingdings"/>
          <w:sz w:val="32"/>
          <w:szCs w:val="32"/>
          <w:lang w:val="en-US" w:eastAsia="zh-CN"/>
        </w:rPr>
        <w:t>28477.25</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%；事业收入</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%；经营收入</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%；其他收入</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p>
    <w:p>
      <w:pPr>
        <w:adjustRightInd w:val="0"/>
        <w:snapToGrid w:val="0"/>
        <w:spacing w:line="600" w:lineRule="exact"/>
        <w:rPr>
          <w:rFonts w:hint="eastAsia" w:ascii="仿宋_GB2312" w:hAnsi="Times New Roman" w:eastAsia="仿宋_GB2312" w:cs="Wingdings"/>
          <w:sz w:val="32"/>
          <w:szCs w:val="32"/>
          <w:lang w:eastAsia="zh-CN"/>
        </w:rPr>
      </w:pPr>
    </w:p>
    <w:p>
      <w:pPr>
        <w:snapToGrid w:val="0"/>
        <w:spacing w:line="600" w:lineRule="exact"/>
        <w:ind w:firstLine="640" w:firstLineChars="200"/>
        <w:outlineLvl w:val="1"/>
        <w:rPr>
          <w:rFonts w:ascii="黑体" w:hAnsi="Calibri" w:eastAsia="黑体" w:cs="Times New Roman"/>
          <w:sz w:val="32"/>
          <w:szCs w:val="32"/>
        </w:rPr>
      </w:pPr>
      <w:r>
        <w:rPr>
          <w:rFonts w:hint="eastAsia" w:ascii="黑体" w:hAnsi="Calibri" w:eastAsia="黑体" w:cs="Times New Roman"/>
          <w:sz w:val="32"/>
          <w:szCs w:val="32"/>
        </w:rPr>
        <w:t>三、支出决算情况说明</w:t>
      </w:r>
    </w:p>
    <w:p>
      <w:pPr>
        <w:adjustRightInd w:val="0"/>
        <w:snapToGrid w:val="0"/>
        <w:spacing w:line="600" w:lineRule="exact"/>
        <w:ind w:firstLine="640" w:firstLineChars="200"/>
        <w:rPr>
          <w:rFonts w:ascii="仿宋_GB2312" w:hAnsi="Times New Roman" w:eastAsia="仿宋_GB2312" w:cs="Wingdings"/>
          <w:sz w:val="32"/>
          <w:szCs w:val="32"/>
        </w:rPr>
      </w:pPr>
      <w:r>
        <w:rPr>
          <w:rFonts w:hint="eastAsia" w:ascii="仿宋_GB2312" w:hAnsi="Times New Roman" w:eastAsia="仿宋_GB2312" w:cs="Wingdings"/>
          <w:sz w:val="32"/>
          <w:szCs w:val="32"/>
        </w:rPr>
        <w:t>本部门2020年度本年支出合计22218</w:t>
      </w:r>
      <w:r>
        <w:rPr>
          <w:rFonts w:hint="eastAsia" w:ascii="仿宋_GB2312" w:hAnsi="Times New Roman" w:eastAsia="仿宋_GB2312" w:cs="Wingdings"/>
          <w:sz w:val="32"/>
          <w:szCs w:val="32"/>
          <w:lang w:val="en-US" w:eastAsia="zh-CN"/>
        </w:rPr>
        <w:t>.90</w:t>
      </w:r>
      <w:r>
        <w:rPr>
          <w:rFonts w:hint="eastAsia" w:ascii="仿宋_GB2312" w:hAnsi="Times New Roman" w:eastAsia="仿宋_GB2312" w:cs="Wingdings"/>
          <w:sz w:val="32"/>
          <w:szCs w:val="32"/>
        </w:rPr>
        <w:t>万元，其中：基本支出12760</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9</w:t>
      </w:r>
      <w:r>
        <w:rPr>
          <w:rFonts w:hint="eastAsia" w:ascii="仿宋_GB2312" w:hAnsi="Times New Roman" w:eastAsia="仿宋_GB2312" w:cs="Wingdings"/>
          <w:sz w:val="32"/>
          <w:szCs w:val="32"/>
          <w:lang w:val="en-US" w:eastAsia="zh-CN"/>
        </w:rPr>
        <w:t>3</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57</w:t>
      </w:r>
      <w:r>
        <w:rPr>
          <w:rFonts w:hint="eastAsia" w:ascii="仿宋_GB2312" w:hAnsi="Times New Roman" w:eastAsia="仿宋_GB2312" w:cs="Wingdings"/>
          <w:sz w:val="32"/>
          <w:szCs w:val="32"/>
        </w:rPr>
        <w:t>%；项目支出9457</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97万元，占</w:t>
      </w:r>
      <w:r>
        <w:rPr>
          <w:rFonts w:hint="eastAsia" w:ascii="仿宋_GB2312" w:hAnsi="Times New Roman" w:eastAsia="仿宋_GB2312" w:cs="Wingdings"/>
          <w:sz w:val="32"/>
          <w:szCs w:val="32"/>
          <w:lang w:val="en-US" w:eastAsia="zh-CN"/>
        </w:rPr>
        <w:t>43</w:t>
      </w:r>
      <w:r>
        <w:rPr>
          <w:rFonts w:hint="eastAsia" w:ascii="仿宋_GB2312" w:hAnsi="Times New Roman" w:eastAsia="仿宋_GB2312" w:cs="Wingdings"/>
          <w:sz w:val="32"/>
          <w:szCs w:val="32"/>
        </w:rPr>
        <w:t>%；经营支出</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%。如图所示：</w:t>
      </w:r>
    </w:p>
    <w:p>
      <w:pPr>
        <w:adjustRightInd w:val="0"/>
        <w:snapToGrid w:val="0"/>
        <w:spacing w:line="600" w:lineRule="exact"/>
        <w:ind w:firstLine="1920" w:firstLineChars="600"/>
        <w:rPr>
          <w:rFonts w:ascii="仿宋_GB2312" w:hAnsi="Times New Roman" w:eastAsia="仿宋_GB2312" w:cs="Wingdings"/>
          <w:sz w:val="32"/>
          <w:szCs w:val="32"/>
        </w:rPr>
      </w:pPr>
    </w:p>
    <w:p>
      <w:pPr>
        <w:adjustRightInd w:val="0"/>
        <w:snapToGrid w:val="0"/>
        <w:spacing w:line="600" w:lineRule="exact"/>
        <w:ind w:firstLine="1920" w:firstLineChars="600"/>
        <w:rPr>
          <w:rFonts w:hint="eastAsia" w:ascii="仿宋_GB2312" w:hAnsi="Times New Roman" w:eastAsia="仿宋_GB2312" w:cs="Wingdings"/>
          <w:sz w:val="32"/>
          <w:szCs w:val="32"/>
          <w:lang w:eastAsia="zh-CN"/>
        </w:rPr>
      </w:pPr>
    </w:p>
    <w:p>
      <w:pPr>
        <w:pStyle w:val="2"/>
        <w:jc w:val="both"/>
        <w:rPr>
          <w:rFonts w:hint="eastAsia" w:ascii="黑体" w:hAnsi="Calibri" w:eastAsia="黑体" w:cs="Times New Roman"/>
          <w:sz w:val="32"/>
          <w:szCs w:val="32"/>
        </w:rPr>
      </w:pPr>
      <w:r>
        <w:rPr>
          <w:rFonts w:hint="eastAsia" w:ascii="仿宋_GB2312" w:hAnsi="Times New Roman" w:eastAsia="仿宋_GB2312" w:cs="Wingdings"/>
          <w:sz w:val="32"/>
          <w:szCs w:val="32"/>
          <w:lang w:eastAsia="zh-CN"/>
        </w:rPr>
        <w:drawing>
          <wp:inline distT="0" distB="0" distL="114300" distR="114300">
            <wp:extent cx="5307965" cy="3381375"/>
            <wp:effectExtent l="4445" t="4445" r="21590" b="508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keepLines/>
        <w:snapToGrid w:val="0"/>
        <w:spacing w:line="600" w:lineRule="exact"/>
        <w:ind w:firstLine="960" w:firstLineChars="300"/>
        <w:outlineLvl w:val="1"/>
        <w:rPr>
          <w:rFonts w:hint="default" w:ascii="黑体" w:hAnsi="Calibri" w:eastAsia="黑体" w:cs="Times New Roman"/>
          <w:sz w:val="32"/>
          <w:szCs w:val="32"/>
          <w:lang w:val="en-US" w:eastAsia="zh-CN"/>
        </w:rPr>
      </w:pPr>
      <w:r>
        <w:rPr>
          <w:rFonts w:hint="eastAsia" w:ascii="黑体" w:hAnsi="Calibri" w:eastAsia="黑体" w:cs="Times New Roman"/>
          <w:sz w:val="32"/>
          <w:szCs w:val="32"/>
        </w:rPr>
        <w:t>四、</w:t>
      </w:r>
      <w:r>
        <w:rPr>
          <w:rFonts w:hint="eastAsia" w:ascii="黑体" w:hAnsi="Cambria" w:eastAsia="黑体" w:cs="黑体"/>
          <w:kern w:val="0"/>
          <w:sz w:val="32"/>
          <w:szCs w:val="32"/>
        </w:rPr>
        <w:t>财政</w:t>
      </w:r>
      <w:r>
        <w:rPr>
          <w:rFonts w:hint="eastAsia" w:ascii="黑体" w:hAnsi="Calibri" w:eastAsia="黑体" w:cs="Times New Roman"/>
          <w:sz w:val="32"/>
          <w:szCs w:val="32"/>
        </w:rPr>
        <w:t>拨款收入支出决算总体情况说明</w:t>
      </w:r>
      <w:r>
        <w:rPr>
          <w:rFonts w:hint="eastAsia" w:ascii="黑体" w:hAnsi="Calibri" w:eastAsia="黑体" w:cs="Times New Roman"/>
          <w:sz w:val="32"/>
          <w:szCs w:val="32"/>
          <w:lang w:val="en-US" w:eastAsia="zh-CN"/>
        </w:rPr>
        <w:t xml:space="preserve">    </w:t>
      </w:r>
    </w:p>
    <w:p>
      <w:pPr>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（一）财政拨款收支与2019年度决算对比情况</w:t>
      </w:r>
    </w:p>
    <w:p>
      <w:pPr>
        <w:adjustRightInd w:val="0"/>
        <w:snapToGrid w:val="0"/>
        <w:spacing w:line="600" w:lineRule="exact"/>
        <w:ind w:firstLine="640" w:firstLineChars="200"/>
        <w:rPr>
          <w:rFonts w:ascii="仿宋_GB2312" w:hAnsi="Times New Roman" w:eastAsia="仿宋_GB2312" w:cs="Wingdings"/>
          <w:sz w:val="32"/>
          <w:szCs w:val="32"/>
          <w:highlight w:val="yellow"/>
        </w:rPr>
      </w:pPr>
      <w:r>
        <w:rPr>
          <w:rFonts w:hint="eastAsia" w:ascii="仿宋_GB2312" w:hAnsi="Times New Roman" w:eastAsia="仿宋_GB2312" w:cs="Wingdings"/>
          <w:sz w:val="32"/>
          <w:szCs w:val="32"/>
        </w:rPr>
        <w:t>本部门2020年度财政拨款收支均为一般公共预算财政拨款，其中本年收入28477</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25万元,比2019年度增加</w:t>
      </w:r>
      <w:r>
        <w:rPr>
          <w:rFonts w:hint="eastAsia" w:ascii="仿宋_GB2312" w:hAnsi="Times New Roman" w:eastAsia="仿宋_GB2312" w:cs="Wingdings"/>
          <w:sz w:val="32"/>
          <w:szCs w:val="32"/>
          <w:lang w:val="en-US" w:eastAsia="zh-CN"/>
        </w:rPr>
        <w:t>12219.34</w:t>
      </w:r>
      <w:r>
        <w:rPr>
          <w:rFonts w:hint="eastAsia" w:ascii="仿宋_GB2312" w:hAnsi="Times New Roman" w:eastAsia="仿宋_GB2312" w:cs="Wingdings"/>
          <w:sz w:val="32"/>
          <w:szCs w:val="32"/>
        </w:rPr>
        <w:t>万元，增长</w:t>
      </w:r>
      <w:r>
        <w:rPr>
          <w:rFonts w:hint="eastAsia" w:ascii="仿宋_GB2312" w:hAnsi="Times New Roman" w:eastAsia="仿宋_GB2312" w:cs="Wingdings"/>
          <w:sz w:val="32"/>
          <w:szCs w:val="32"/>
          <w:lang w:val="en-US" w:eastAsia="zh-CN"/>
        </w:rPr>
        <w:t>75</w:t>
      </w:r>
      <w:r>
        <w:rPr>
          <w:rFonts w:hint="eastAsia" w:ascii="仿宋_GB2312" w:hAnsi="Times New Roman" w:eastAsia="仿宋_GB2312" w:cs="Wingdings"/>
          <w:sz w:val="32"/>
          <w:szCs w:val="32"/>
        </w:rPr>
        <w:t>%，主要是</w:t>
      </w:r>
      <w:r>
        <w:rPr>
          <w:rFonts w:hint="eastAsia" w:ascii="仿宋_GB2312" w:hAnsi="Times New Roman" w:eastAsia="仿宋_GB2312" w:cs="Wingdings"/>
          <w:sz w:val="32"/>
          <w:szCs w:val="32"/>
          <w:lang w:eastAsia="zh-CN"/>
        </w:rPr>
        <w:t>新建小学结工程款</w:t>
      </w:r>
      <w:r>
        <w:rPr>
          <w:rFonts w:hint="eastAsia" w:ascii="仿宋_GB2312" w:hAnsi="Times New Roman" w:eastAsia="仿宋_GB2312" w:cs="Wingdings"/>
          <w:sz w:val="32"/>
          <w:szCs w:val="32"/>
        </w:rPr>
        <w:t>；</w:t>
      </w:r>
    </w:p>
    <w:p>
      <w:pPr>
        <w:pStyle w:val="2"/>
        <w:rPr>
          <w:rFonts w:hint="eastAsia" w:ascii="仿宋_GB2312" w:hAnsi="Times New Roman" w:eastAsia="仿宋_GB2312" w:cs="Wingdings"/>
          <w:sz w:val="32"/>
          <w:szCs w:val="32"/>
          <w:highlight w:val="yellow"/>
          <w:lang w:eastAsia="zh-CN"/>
        </w:rPr>
      </w:pPr>
      <w:r>
        <w:rPr>
          <w:rFonts w:hint="eastAsia" w:ascii="仿宋_GB2312" w:hAnsi="Times New Roman" w:eastAsia="仿宋_GB2312" w:cs="Wingdings"/>
          <w:sz w:val="32"/>
          <w:szCs w:val="32"/>
          <w:highlight w:val="yellow"/>
          <w:lang w:eastAsia="zh-CN"/>
        </w:rPr>
        <w:drawing>
          <wp:inline distT="0" distB="0" distL="114300" distR="114300">
            <wp:extent cx="5184775" cy="4751070"/>
            <wp:effectExtent l="4445" t="4445" r="11430" b="6985"/>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rFonts w:ascii="仿宋_GB2312" w:hAnsi="Times New Roman" w:eastAsia="仿宋_GB2312" w:cs="Wingdings"/>
          <w:sz w:val="32"/>
          <w:szCs w:val="32"/>
          <w:highlight w:val="yellow"/>
        </w:rPr>
      </w:pPr>
    </w:p>
    <w:p>
      <w:pPr>
        <w:pStyle w:val="2"/>
      </w:pPr>
    </w:p>
    <w:p>
      <w:pPr>
        <w:snapToGrid w:val="0"/>
        <w:spacing w:line="600" w:lineRule="exact"/>
        <w:ind w:firstLine="643" w:firstLineChars="200"/>
        <w:rPr>
          <w:rFonts w:ascii="仿宋_GB2312" w:hAnsi="Times New Roman" w:eastAsia="仿宋_GB2312" w:cs="Mongolian Baiti"/>
          <w:b/>
          <w:bCs/>
          <w:sz w:val="32"/>
          <w:szCs w:val="32"/>
        </w:rPr>
      </w:pPr>
      <w:r>
        <w:rPr>
          <w:rFonts w:hint="eastAsia" w:ascii="楷体_GB2312" w:hAnsi="Times New Roman" w:eastAsia="楷体_GB2312" w:cs="Mongolian Baiti"/>
          <w:b/>
          <w:bCs/>
          <w:sz w:val="32"/>
          <w:szCs w:val="32"/>
        </w:rPr>
        <w:t>（二）财政拨款收支与年初预算数对比情况</w:t>
      </w:r>
    </w:p>
    <w:p>
      <w:pPr>
        <w:adjustRightInd w:val="0"/>
        <w:snapToGrid w:val="0"/>
        <w:spacing w:line="600" w:lineRule="exact"/>
        <w:ind w:firstLine="640" w:firstLineChars="200"/>
      </w:pPr>
      <w:r>
        <w:rPr>
          <w:rFonts w:hint="eastAsia" w:ascii="仿宋_GB2312" w:hAnsi="Times New Roman" w:eastAsia="仿宋_GB2312" w:cs="Wingdings"/>
          <w:sz w:val="32"/>
          <w:szCs w:val="32"/>
        </w:rPr>
        <w:t>本部门2020年度一般公共预算财政拨款收入</w:t>
      </w:r>
      <w:r>
        <w:rPr>
          <w:rFonts w:hint="eastAsia" w:ascii="仿宋_GB2312" w:hAnsi="Times New Roman" w:eastAsia="仿宋_GB2312" w:cs="Wingdings"/>
          <w:sz w:val="32"/>
          <w:szCs w:val="32"/>
          <w:lang w:val="en-US" w:eastAsia="zh-CN"/>
        </w:rPr>
        <w:t>28477.25</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100</w:t>
      </w:r>
      <w:r>
        <w:rPr>
          <w:rFonts w:hint="eastAsia" w:ascii="仿宋_GB2312" w:hAnsi="Times New Roman" w:eastAsia="仿宋_GB2312" w:cs="Wingdings"/>
          <w:sz w:val="32"/>
          <w:szCs w:val="32"/>
        </w:rPr>
        <w:t>%,比年初预算增加</w:t>
      </w:r>
      <w:r>
        <w:rPr>
          <w:rFonts w:hint="eastAsia" w:ascii="仿宋_GB2312" w:hAnsi="Times New Roman" w:eastAsia="仿宋_GB2312" w:cs="Wingdings"/>
          <w:sz w:val="32"/>
          <w:szCs w:val="32"/>
          <w:lang w:val="en-US" w:eastAsia="zh-CN"/>
        </w:rPr>
        <w:t>1032.85</w:t>
      </w:r>
      <w:r>
        <w:rPr>
          <w:rFonts w:hint="eastAsia" w:ascii="仿宋_GB2312" w:hAnsi="Times New Roman" w:eastAsia="仿宋_GB2312" w:cs="Wingdings"/>
          <w:sz w:val="32"/>
          <w:szCs w:val="32"/>
        </w:rPr>
        <w:t>万元，决算数大于预算数主要原因是</w:t>
      </w:r>
      <w:r>
        <w:rPr>
          <w:rFonts w:hint="eastAsia" w:ascii="仿宋_GB2312" w:hAnsi="Times New Roman" w:eastAsia="仿宋_GB2312" w:cs="Wingdings"/>
          <w:sz w:val="32"/>
          <w:szCs w:val="32"/>
          <w:lang w:eastAsia="zh-CN"/>
        </w:rPr>
        <w:t>新建小学</w:t>
      </w:r>
      <w:r>
        <w:rPr>
          <w:rFonts w:hint="eastAsia" w:ascii="仿宋_GB2312" w:hAnsi="Times New Roman" w:eastAsia="仿宋_GB2312" w:cs="Wingdings"/>
          <w:sz w:val="32"/>
          <w:szCs w:val="32"/>
        </w:rPr>
        <w:t>；本年支出</w:t>
      </w:r>
      <w:r>
        <w:rPr>
          <w:rFonts w:hint="eastAsia" w:ascii="仿宋_GB2312" w:hAnsi="Times New Roman" w:eastAsia="仿宋_GB2312" w:cs="Wingdings"/>
          <w:sz w:val="32"/>
          <w:szCs w:val="32"/>
          <w:lang w:val="en-US" w:eastAsia="zh-CN"/>
        </w:rPr>
        <w:t>22218.90</w:t>
      </w:r>
      <w:r>
        <w:rPr>
          <w:rFonts w:hint="eastAsia" w:ascii="仿宋_GB2312" w:hAnsi="Times New Roman" w:eastAsia="仿宋_GB2312" w:cs="Wingdings"/>
          <w:sz w:val="32"/>
          <w:szCs w:val="32"/>
        </w:rPr>
        <w:t>万元，完成年初预算的</w:t>
      </w:r>
      <w:r>
        <w:rPr>
          <w:rFonts w:hint="eastAsia" w:ascii="仿宋_GB2312" w:hAnsi="Times New Roman" w:eastAsia="仿宋_GB2312" w:cs="Wingdings"/>
          <w:sz w:val="32"/>
          <w:szCs w:val="32"/>
          <w:lang w:val="en-US" w:eastAsia="zh-CN"/>
        </w:rPr>
        <w:t>80.95</w:t>
      </w:r>
      <w:r>
        <w:rPr>
          <w:rFonts w:hint="eastAsia" w:ascii="仿宋_GB2312" w:hAnsi="Times New Roman" w:eastAsia="仿宋_GB2312" w:cs="Wingdings"/>
          <w:sz w:val="32"/>
          <w:szCs w:val="32"/>
        </w:rPr>
        <w:t>%,比年初预算减少</w:t>
      </w:r>
      <w:r>
        <w:rPr>
          <w:rFonts w:hint="eastAsia" w:ascii="仿宋_GB2312" w:hAnsi="Times New Roman" w:eastAsia="仿宋_GB2312" w:cs="Wingdings"/>
          <w:sz w:val="32"/>
          <w:szCs w:val="32"/>
          <w:lang w:val="en-US" w:eastAsia="zh-CN"/>
        </w:rPr>
        <w:t>5225.5</w:t>
      </w:r>
      <w:r>
        <w:rPr>
          <w:rFonts w:hint="eastAsia" w:ascii="仿宋_GB2312" w:hAnsi="Times New Roman" w:eastAsia="仿宋_GB2312" w:cs="Wingdings"/>
          <w:sz w:val="32"/>
          <w:szCs w:val="32"/>
        </w:rPr>
        <w:t>万元，决算数小于预算数主要原因是</w:t>
      </w:r>
      <w:r>
        <w:rPr>
          <w:rFonts w:hint="eastAsia" w:ascii="仿宋_GB2312" w:hAnsi="Times New Roman" w:eastAsia="仿宋_GB2312" w:cs="Wingdings"/>
          <w:sz w:val="32"/>
          <w:szCs w:val="32"/>
          <w:lang w:eastAsia="zh-CN"/>
        </w:rPr>
        <w:t>项目结算资金未在本年全部结清。</w:t>
      </w:r>
    </w:p>
    <w:p>
      <w:pPr>
        <w:numPr>
          <w:ilvl w:val="0"/>
          <w:numId w:val="1"/>
        </w:numPr>
        <w:adjustRightInd w:val="0"/>
        <w:snapToGrid w:val="0"/>
        <w:spacing w:line="600" w:lineRule="exact"/>
        <w:ind w:left="420" w:left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财政拨款支出决算结构情况。</w:t>
      </w:r>
    </w:p>
    <w:p>
      <w:pPr>
        <w:adjustRightInd w:val="0"/>
        <w:snapToGrid w:val="0"/>
        <w:spacing w:line="600" w:lineRule="exact"/>
        <w:ind w:firstLine="640" w:firstLineChars="200"/>
        <w:rPr>
          <w:rFonts w:hint="eastAsia" w:ascii="仿宋_GB2312" w:hAnsi="Times New Roman" w:eastAsia="仿宋_GB2312" w:cs="Wingdings"/>
          <w:sz w:val="32"/>
          <w:szCs w:val="32"/>
          <w:lang w:val="en-US" w:eastAsia="zh-CN"/>
        </w:rPr>
      </w:pPr>
      <w:r>
        <w:rPr>
          <w:rFonts w:hint="eastAsia" w:ascii="仿宋_GB2312" w:hAnsi="Times New Roman" w:eastAsia="仿宋_GB2312" w:cs="Wingdings"/>
          <w:sz w:val="32"/>
          <w:szCs w:val="32"/>
        </w:rPr>
        <w:t>2020 年度财政拨款支出22218</w:t>
      </w:r>
      <w:r>
        <w:rPr>
          <w:rFonts w:hint="eastAsia" w:ascii="仿宋_GB2312" w:hAnsi="Times New Roman" w:eastAsia="仿宋_GB2312" w:cs="Wingdings"/>
          <w:sz w:val="32"/>
          <w:szCs w:val="32"/>
          <w:lang w:val="en-US" w:eastAsia="zh-CN"/>
        </w:rPr>
        <w:t>.90</w:t>
      </w:r>
      <w:r>
        <w:rPr>
          <w:rFonts w:hint="eastAsia" w:ascii="仿宋_GB2312" w:hAnsi="Times New Roman" w:eastAsia="仿宋_GB2312" w:cs="Wingdings"/>
          <w:sz w:val="32"/>
          <w:szCs w:val="32"/>
        </w:rPr>
        <w:t>万元，主要用于以下方面：</w:t>
      </w:r>
      <w:r>
        <w:rPr>
          <w:rFonts w:hint="eastAsia" w:ascii="仿宋_GB2312" w:hAnsi="Times New Roman" w:eastAsia="仿宋_GB2312" w:cs="Wingdings"/>
          <w:sz w:val="32"/>
          <w:szCs w:val="32"/>
          <w:lang w:eastAsia="zh-CN"/>
        </w:rPr>
        <w:t>教育</w:t>
      </w:r>
      <w:r>
        <w:rPr>
          <w:rFonts w:hint="eastAsia" w:ascii="仿宋_GB2312" w:hAnsi="Times New Roman" w:eastAsia="仿宋_GB2312" w:cs="Wingdings"/>
          <w:sz w:val="32"/>
          <w:szCs w:val="32"/>
        </w:rPr>
        <w:t>支出</w:t>
      </w:r>
      <w:r>
        <w:rPr>
          <w:rFonts w:hint="eastAsia" w:ascii="仿宋_GB2312" w:hAnsi="Times New Roman" w:eastAsia="仿宋_GB2312" w:cs="Wingdings"/>
          <w:sz w:val="32"/>
          <w:szCs w:val="32"/>
          <w:lang w:val="en-US" w:eastAsia="zh-CN"/>
        </w:rPr>
        <w:t>21577.11</w:t>
      </w:r>
      <w:r>
        <w:rPr>
          <w:rFonts w:hint="eastAsia" w:ascii="仿宋_GB2312" w:hAnsi="Times New Roman" w:eastAsia="仿宋_GB2312" w:cs="Wingdings"/>
          <w:sz w:val="32"/>
          <w:szCs w:val="32"/>
        </w:rPr>
        <w:t>万元，占</w:t>
      </w:r>
      <w:r>
        <w:rPr>
          <w:rFonts w:hint="eastAsia" w:ascii="仿宋_GB2312" w:hAnsi="Times New Roman" w:eastAsia="仿宋_GB2312" w:cs="Wingdings"/>
          <w:sz w:val="32"/>
          <w:szCs w:val="32"/>
          <w:lang w:val="en-US" w:eastAsia="zh-CN"/>
        </w:rPr>
        <w:t>97</w:t>
      </w:r>
      <w:r>
        <w:rPr>
          <w:rFonts w:hint="eastAsia" w:ascii="仿宋_GB2312" w:hAnsi="Times New Roman" w:eastAsia="仿宋_GB2312" w:cs="Wingdings"/>
          <w:sz w:val="32"/>
          <w:szCs w:val="32"/>
        </w:rPr>
        <w:t>%；城乡社区支出641</w:t>
      </w:r>
      <w:r>
        <w:rPr>
          <w:rFonts w:hint="eastAsia" w:ascii="仿宋_GB2312" w:hAnsi="Times New Roman" w:eastAsia="仿宋_GB2312" w:cs="Wingdings"/>
          <w:sz w:val="32"/>
          <w:szCs w:val="32"/>
          <w:lang w:val="en-US" w:eastAsia="zh-CN"/>
        </w:rPr>
        <w:t>.</w:t>
      </w:r>
      <w:r>
        <w:rPr>
          <w:rFonts w:hint="eastAsia" w:ascii="仿宋_GB2312" w:hAnsi="Times New Roman" w:eastAsia="仿宋_GB2312" w:cs="Wingdings"/>
          <w:sz w:val="32"/>
          <w:szCs w:val="32"/>
        </w:rPr>
        <w:t>7</w:t>
      </w:r>
      <w:r>
        <w:rPr>
          <w:rFonts w:hint="eastAsia" w:ascii="仿宋_GB2312" w:hAnsi="Times New Roman" w:eastAsia="仿宋_GB2312" w:cs="Wingdings"/>
          <w:sz w:val="32"/>
          <w:szCs w:val="32"/>
          <w:lang w:val="en-US" w:eastAsia="zh-CN"/>
        </w:rPr>
        <w:t>9万元，</w:t>
      </w:r>
      <w:r>
        <w:rPr>
          <w:rFonts w:hint="eastAsia" w:ascii="仿宋_GB2312" w:hAnsi="Times New Roman" w:eastAsia="仿宋_GB2312" w:cs="Wingdings"/>
          <w:sz w:val="32"/>
          <w:szCs w:val="32"/>
        </w:rPr>
        <w:t>占</w:t>
      </w:r>
      <w:r>
        <w:rPr>
          <w:rFonts w:hint="eastAsia" w:ascii="仿宋_GB2312" w:hAnsi="Times New Roman" w:eastAsia="仿宋_GB2312" w:cs="Wingdings"/>
          <w:sz w:val="32"/>
          <w:szCs w:val="32"/>
          <w:lang w:val="en-US" w:eastAsia="zh-CN"/>
        </w:rPr>
        <w:t>3</w:t>
      </w:r>
      <w:r>
        <w:rPr>
          <w:rFonts w:hint="eastAsia" w:ascii="仿宋_GB2312" w:hAnsi="Times New Roman" w:eastAsia="仿宋_GB2312" w:cs="Wingdings"/>
          <w:sz w:val="32"/>
          <w:szCs w:val="32"/>
        </w:rPr>
        <w:t>%</w:t>
      </w:r>
    </w:p>
    <w:p>
      <w:pPr>
        <w:pStyle w:val="2"/>
        <w:tabs>
          <w:tab w:val="left" w:pos="531"/>
          <w:tab w:val="center" w:pos="4482"/>
        </w:tabs>
        <w:jc w:val="left"/>
      </w:pPr>
      <w:r>
        <w:rPr>
          <w:rFonts w:hint="eastAsia" w:ascii="楷体_GB2312" w:hAnsi="Times New Roman" w:eastAsia="楷体_GB2312" w:cs="Mongolian Baiti"/>
          <w:b/>
          <w:bCs/>
          <w:sz w:val="32"/>
          <w:szCs w:val="32"/>
          <w:lang w:eastAsia="zh-CN"/>
        </w:rPr>
        <w:tab/>
      </w:r>
      <w:r>
        <w:rPr>
          <w:rFonts w:hint="eastAsia" w:ascii="楷体_GB2312" w:hAnsi="Times New Roman" w:eastAsia="楷体_GB2312" w:cs="Mongolian Baiti"/>
          <w:b/>
          <w:bCs/>
          <w:sz w:val="32"/>
          <w:szCs w:val="32"/>
          <w:lang w:eastAsia="zh-CN"/>
        </w:rPr>
        <w:drawing>
          <wp:inline distT="0" distB="0" distL="114300" distR="114300">
            <wp:extent cx="5035550" cy="3831590"/>
            <wp:effectExtent l="4445" t="4445" r="8255" b="1206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（四）一般公共预算基本支出决算情况说明</w:t>
      </w:r>
    </w:p>
    <w:p>
      <w:pPr>
        <w:adjustRightInd w:val="0"/>
        <w:snapToGrid w:val="0"/>
        <w:spacing w:line="600" w:lineRule="exact"/>
        <w:rPr>
          <w:rFonts w:ascii="仿宋_GB2312" w:hAnsi="Times New Roman" w:eastAsia="仿宋_GB2312" w:cs="Wingdings"/>
          <w:sz w:val="32"/>
          <w:szCs w:val="32"/>
          <w:highlight w:val="yellow"/>
        </w:rPr>
      </w:pPr>
    </w:p>
    <w:p>
      <w:pPr>
        <w:adjustRightInd w:val="0"/>
        <w:snapToGrid w:val="0"/>
        <w:spacing w:line="600" w:lineRule="exact"/>
        <w:ind w:firstLine="640" w:firstLineChars="200"/>
        <w:rPr>
          <w:rFonts w:hint="eastAsia" w:ascii="仿宋_GB2312" w:hAnsi="Times New Roman" w:eastAsia="仿宋_GB2312" w:cs="Wingdings"/>
          <w:sz w:val="32"/>
          <w:szCs w:val="32"/>
          <w:lang w:eastAsia="zh-CN"/>
        </w:rPr>
      </w:pPr>
      <w:r>
        <w:rPr>
          <w:rFonts w:hint="eastAsia" w:ascii="仿宋_GB2312" w:hAnsi="Times New Roman" w:eastAsia="仿宋_GB2312" w:cs="Wingdings"/>
          <w:sz w:val="32"/>
          <w:szCs w:val="32"/>
        </w:rPr>
        <w:t>2020 年度财政拨款基本支出</w:t>
      </w:r>
      <w:r>
        <w:rPr>
          <w:rFonts w:hint="eastAsia" w:ascii="仿宋_GB2312" w:hAnsi="Times New Roman" w:eastAsia="仿宋_GB2312" w:cs="Wingdings"/>
          <w:sz w:val="32"/>
          <w:szCs w:val="32"/>
          <w:lang w:val="en-US" w:eastAsia="zh-CN"/>
        </w:rPr>
        <w:t>12760.93</w:t>
      </w:r>
      <w:r>
        <w:rPr>
          <w:rFonts w:hint="eastAsia" w:ascii="仿宋_GB2312" w:hAnsi="Times New Roman" w:eastAsia="仿宋_GB2312" w:cs="Wingdings"/>
          <w:sz w:val="32"/>
          <w:szCs w:val="32"/>
        </w:rPr>
        <w:t xml:space="preserve">万元，其中：人员经费 </w:t>
      </w:r>
      <w:r>
        <w:rPr>
          <w:rFonts w:hint="eastAsia" w:ascii="仿宋_GB2312" w:hAnsi="Times New Roman" w:eastAsia="仿宋_GB2312" w:cs="Wingdings"/>
          <w:sz w:val="32"/>
          <w:szCs w:val="32"/>
          <w:lang w:val="en-US" w:eastAsia="zh-CN"/>
        </w:rPr>
        <w:t>11532.79</w:t>
      </w:r>
      <w:r>
        <w:rPr>
          <w:rFonts w:hint="eastAsia" w:ascii="仿宋_GB2312" w:hAnsi="Times New Roman" w:eastAsia="仿宋_GB2312" w:cs="Wingdings"/>
          <w:sz w:val="32"/>
          <w:szCs w:val="32"/>
        </w:rPr>
        <w:t xml:space="preserve">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 </w:t>
      </w:r>
      <w:r>
        <w:rPr>
          <w:rFonts w:hint="eastAsia" w:ascii="仿宋_GB2312" w:hAnsi="Times New Roman" w:eastAsia="仿宋_GB2312" w:cs="Wingdings"/>
          <w:sz w:val="32"/>
          <w:szCs w:val="32"/>
          <w:lang w:val="en-US" w:eastAsia="zh-CN"/>
        </w:rPr>
        <w:t>1228.14</w:t>
      </w:r>
      <w:r>
        <w:rPr>
          <w:rFonts w:hint="eastAsia" w:ascii="仿宋_GB2312" w:hAnsi="Times New Roman" w:eastAsia="仿宋_GB2312" w:cs="Wingdings"/>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r>
        <w:rPr>
          <w:rFonts w:hint="eastAsia" w:ascii="仿宋_GB2312" w:hAnsi="Times New Roman" w:eastAsia="仿宋_GB2312" w:cs="Wingdings"/>
          <w:sz w:val="32"/>
          <w:szCs w:val="32"/>
          <w:lang w:eastAsia="zh-CN"/>
        </w:rPr>
        <w:t>。</w:t>
      </w:r>
    </w:p>
    <w:p>
      <w:pPr>
        <w:keepNext/>
        <w:keepLines/>
        <w:snapToGrid w:val="0"/>
        <w:spacing w:line="600" w:lineRule="exact"/>
        <w:ind w:firstLine="640" w:firstLineChars="200"/>
        <w:outlineLvl w:val="1"/>
        <w:rPr>
          <w:rFonts w:ascii="仿宋_GB2312" w:hAnsi="Times New Roman" w:eastAsia="仿宋_GB2312" w:cs="Wingdings"/>
          <w:sz w:val="32"/>
          <w:szCs w:val="32"/>
          <w:highlight w:val="yellow"/>
        </w:rPr>
      </w:pPr>
      <w:r>
        <w:rPr>
          <w:rFonts w:hint="eastAsia" w:ascii="黑体" w:hAnsi="Calibri" w:eastAsia="黑体" w:cs="Times New Roman"/>
          <w:sz w:val="32"/>
          <w:szCs w:val="32"/>
        </w:rPr>
        <w:t>五、一般公共预算“三公” 经费支出决算情况说明</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（一）“三公”经费财政拨款支出决算总体情况说明</w:t>
      </w:r>
    </w:p>
    <w:p>
      <w:pPr>
        <w:adjustRightInd w:val="0"/>
        <w:snapToGrid w:val="0"/>
        <w:spacing w:line="600" w:lineRule="exact"/>
        <w:ind w:firstLine="640" w:firstLineChars="200"/>
        <w:rPr>
          <w:rFonts w:hint="eastAsia" w:ascii="仿宋_GB2312" w:hAnsi="Times New Roman" w:eastAsia="仿宋_GB2312" w:cs="Wingdings"/>
          <w:sz w:val="32"/>
          <w:szCs w:val="32"/>
          <w:lang w:eastAsia="zh-CN"/>
        </w:rPr>
      </w:pPr>
      <w:r>
        <w:rPr>
          <w:rFonts w:hint="eastAsia" w:ascii="仿宋_GB2312" w:hAnsi="Times New Roman" w:eastAsia="仿宋_GB2312" w:cs="Wingdings"/>
          <w:sz w:val="32"/>
          <w:szCs w:val="32"/>
        </w:rPr>
        <w:t>本部门2020年度“三公”经费财政拨款支出预算为</w:t>
      </w:r>
      <w:r>
        <w:rPr>
          <w:rFonts w:hint="eastAsia" w:ascii="仿宋_GB2312" w:hAnsi="Times New Roman" w:eastAsia="仿宋_GB2312" w:cs="Wingdings"/>
          <w:sz w:val="32"/>
          <w:szCs w:val="32"/>
          <w:lang w:val="en-US" w:eastAsia="zh-CN"/>
        </w:rPr>
        <w:t>0.63</w:t>
      </w:r>
      <w:r>
        <w:rPr>
          <w:rFonts w:hint="eastAsia" w:ascii="仿宋_GB2312" w:hAnsi="Times New Roman" w:eastAsia="仿宋_GB2312" w:cs="Wingdings"/>
          <w:sz w:val="32"/>
          <w:szCs w:val="32"/>
        </w:rPr>
        <w:t>万元，支出决算为元，完成预算的</w:t>
      </w:r>
      <w:r>
        <w:rPr>
          <w:rFonts w:hint="eastAsia" w:ascii="仿宋_GB2312" w:hAnsi="Times New Roman" w:eastAsia="仿宋_GB2312" w:cs="Wingdings"/>
          <w:sz w:val="32"/>
          <w:szCs w:val="32"/>
          <w:lang w:val="en-US" w:eastAsia="zh-CN"/>
        </w:rPr>
        <w:t>0</w:t>
      </w:r>
      <w:r>
        <w:rPr>
          <w:rFonts w:hint="eastAsia" w:ascii="仿宋_GB2312" w:hAnsi="Times New Roman" w:eastAsia="仿宋_GB2312" w:cs="Wingdings"/>
          <w:sz w:val="32"/>
          <w:szCs w:val="32"/>
        </w:rPr>
        <w:t>%,；</w:t>
      </w:r>
      <w:r>
        <w:rPr>
          <w:rFonts w:hint="eastAsia" w:ascii="仿宋_GB2312" w:hAnsi="Times New Roman" w:eastAsia="仿宋_GB2312" w:cs="Wingdings"/>
          <w:sz w:val="32"/>
          <w:szCs w:val="32"/>
          <w:lang w:eastAsia="zh-CN"/>
        </w:rPr>
        <w:t>与去年持平。</w:t>
      </w:r>
    </w:p>
    <w:p>
      <w:pPr>
        <w:adjustRightInd w:val="0"/>
        <w:snapToGrid w:val="0"/>
        <w:spacing w:line="600" w:lineRule="exact"/>
        <w:ind w:firstLine="643" w:firstLineChars="200"/>
        <w:rPr>
          <w:rFonts w:ascii="楷体_GB2312" w:hAnsi="Times New Roman" w:eastAsia="楷体_GB2312" w:cs="Mongolian Baiti"/>
          <w:b/>
          <w:bCs/>
          <w:sz w:val="32"/>
          <w:szCs w:val="32"/>
        </w:rPr>
      </w:pPr>
      <w:r>
        <w:rPr>
          <w:rFonts w:hint="eastAsia" w:ascii="楷体_GB2312" w:hAnsi="Times New Roman" w:eastAsia="楷体_GB2312" w:cs="Mongolian Baiti"/>
          <w:b/>
          <w:bCs/>
          <w:sz w:val="32"/>
          <w:szCs w:val="32"/>
        </w:rPr>
        <w:t>（二）“三公”经费财政拨款支出决算具体情况说明</w:t>
      </w:r>
    </w:p>
    <w:p>
      <w:pPr>
        <w:adjustRightInd w:val="0"/>
        <w:snapToGrid w:val="0"/>
        <w:spacing w:line="600" w:lineRule="exact"/>
        <w:ind w:firstLine="643" w:firstLineChars="200"/>
        <w:rPr>
          <w:rFonts w:hint="default" w:ascii="仿宋_GB2312" w:hAnsi="Times New Roman" w:eastAsia="仿宋_GB2312" w:cs="Wingdings"/>
          <w:sz w:val="32"/>
          <w:szCs w:val="32"/>
          <w:lang w:val="en-US" w:eastAsia="zh-CN"/>
        </w:rPr>
      </w:pPr>
      <w:r>
        <w:rPr>
          <w:rFonts w:hint="eastAsia" w:ascii="楷体_GB2312" w:hAnsi="Times New Roman" w:eastAsia="楷体_GB2312" w:cs="Mongolian Baiti"/>
          <w:b/>
          <w:bCs/>
          <w:sz w:val="32"/>
          <w:szCs w:val="32"/>
        </w:rPr>
        <w:t>1.因公出国（境）费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rPr>
        <w:t>本部门2020</w:t>
      </w:r>
      <w:r>
        <w:rPr>
          <w:rFonts w:hint="eastAsia" w:ascii="仿宋_GB2312" w:hAnsi="仿宋_GB2312" w:eastAsia="仿宋_GB2312" w:cs="仿宋_GB2312"/>
          <w:b w:val="0"/>
          <w:bCs w:val="0"/>
          <w:sz w:val="32"/>
          <w:szCs w:val="32"/>
          <w:lang w:val="en-US" w:eastAsia="zh-CN"/>
        </w:rPr>
        <w:t>年因公出国（境）费</w:t>
      </w:r>
      <w:r>
        <w:rPr>
          <w:rFonts w:hint="eastAsia" w:ascii="仿宋_GB2312" w:hAnsi="仿宋_GB2312" w:eastAsia="仿宋_GB2312" w:cs="仿宋_GB2312"/>
          <w:b w:val="0"/>
          <w:bCs w:val="0"/>
          <w:sz w:val="32"/>
          <w:szCs w:val="32"/>
        </w:rPr>
        <w:t>支出</w:t>
      </w:r>
      <w:r>
        <w:rPr>
          <w:rFonts w:hint="eastAsia" w:ascii="仿宋_GB2312" w:hAnsi="仿宋_GB2312" w:eastAsia="仿宋_GB2312" w:cs="仿宋_GB2312"/>
          <w:b w:val="0"/>
          <w:bCs w:val="0"/>
          <w:sz w:val="32"/>
          <w:szCs w:val="32"/>
          <w:lang w:eastAsia="zh-CN"/>
        </w:rPr>
        <w:t>与</w:t>
      </w:r>
      <w:r>
        <w:rPr>
          <w:rFonts w:hint="eastAsia" w:ascii="仿宋_GB2312" w:hAnsi="仿宋_GB2312" w:eastAsia="仿宋_GB2312" w:cs="仿宋_GB2312"/>
          <w:b w:val="0"/>
          <w:bCs w:val="0"/>
          <w:sz w:val="32"/>
          <w:szCs w:val="32"/>
          <w:lang w:val="en-US" w:eastAsia="zh-CN"/>
        </w:rPr>
        <w:t>2019年决算支出持平。</w:t>
      </w:r>
    </w:p>
    <w:p>
      <w:pPr>
        <w:adjustRightInd w:val="0"/>
        <w:snapToGrid w:val="0"/>
        <w:spacing w:line="600" w:lineRule="exact"/>
        <w:ind w:firstLine="643" w:firstLineChars="200"/>
        <w:rPr>
          <w:rFonts w:hint="eastAsia" w:ascii="仿宋_GB2312" w:hAnsi="仿宋_GB2312" w:eastAsia="仿宋_GB2312" w:cs="仿宋_GB2312"/>
          <w:b w:val="0"/>
          <w:bCs w:val="0"/>
          <w:sz w:val="32"/>
          <w:szCs w:val="32"/>
          <w:lang w:eastAsia="zh-CN"/>
        </w:rPr>
      </w:pPr>
      <w:r>
        <w:rPr>
          <w:rFonts w:hint="eastAsia" w:ascii="楷体_GB2312" w:hAnsi="Times New Roman" w:eastAsia="楷体_GB2312" w:cs="Mongolian Baiti"/>
          <w:b/>
          <w:bCs/>
          <w:sz w:val="32"/>
          <w:szCs w:val="32"/>
        </w:rPr>
        <w:t>2.公务用车购置及运行维护费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lang w:eastAsia="zh-CN"/>
        </w:rPr>
        <w:t>本部门2020</w:t>
      </w:r>
      <w:r>
        <w:rPr>
          <w:rFonts w:hint="eastAsia" w:ascii="仿宋_GB2312" w:hAnsi="仿宋_GB2312" w:eastAsia="仿宋_GB2312" w:cs="仿宋_GB2312"/>
          <w:b w:val="0"/>
          <w:bCs w:val="0"/>
          <w:sz w:val="32"/>
          <w:szCs w:val="32"/>
          <w:lang w:val="en-US" w:eastAsia="zh-CN"/>
        </w:rPr>
        <w:t>年</w:t>
      </w:r>
      <w:r>
        <w:rPr>
          <w:rFonts w:hint="eastAsia" w:ascii="仿宋_GB2312" w:hAnsi="仿宋_GB2312" w:eastAsia="仿宋_GB2312" w:cs="仿宋_GB2312"/>
          <w:b w:val="0"/>
          <w:bCs w:val="0"/>
          <w:sz w:val="32"/>
          <w:szCs w:val="32"/>
        </w:rPr>
        <w:t>公务用车购置及运行维护费</w:t>
      </w:r>
      <w:r>
        <w:rPr>
          <w:rFonts w:hint="eastAsia" w:ascii="仿宋_GB2312" w:hAnsi="仿宋_GB2312" w:eastAsia="仿宋_GB2312" w:cs="仿宋_GB2312"/>
          <w:b w:val="0"/>
          <w:bCs w:val="0"/>
          <w:sz w:val="32"/>
          <w:szCs w:val="32"/>
          <w:lang w:eastAsia="zh-CN"/>
        </w:rPr>
        <w:t>支出</w:t>
      </w:r>
      <w:r>
        <w:rPr>
          <w:rFonts w:hint="eastAsia" w:ascii="仿宋_GB2312" w:hAnsi="仿宋_GB2312" w:eastAsia="仿宋_GB2312" w:cs="仿宋_GB2312"/>
          <w:b w:val="0"/>
          <w:bCs w:val="0"/>
          <w:sz w:val="32"/>
          <w:szCs w:val="32"/>
          <w:lang w:val="en-US" w:eastAsia="zh-CN"/>
        </w:rPr>
        <w:t>2019年决算支出持平</w:t>
      </w:r>
    </w:p>
    <w:p>
      <w:pPr>
        <w:adjustRightInd w:val="0"/>
        <w:snapToGrid w:val="0"/>
        <w:spacing w:line="600" w:lineRule="exact"/>
        <w:ind w:firstLine="643" w:firstLineChars="200"/>
        <w:rPr>
          <w:rFonts w:ascii="仿宋_GB2312" w:hAnsi="Times New Roman" w:eastAsia="仿宋_GB2312" w:cs="Mongolian Baiti"/>
          <w:b/>
          <w:bCs/>
          <w:sz w:val="32"/>
          <w:szCs w:val="32"/>
        </w:rPr>
      </w:pPr>
      <w:r>
        <w:rPr>
          <w:rFonts w:hint="eastAsia" w:ascii="仿宋_GB2312" w:hAnsi="Times New Roman" w:eastAsia="仿宋_GB2312" w:cs="Mongolian Baiti"/>
          <w:b/>
          <w:bCs/>
          <w:sz w:val="32"/>
          <w:szCs w:val="32"/>
        </w:rPr>
        <w:t>其中：</w:t>
      </w:r>
    </w:p>
    <w:p>
      <w:pPr>
        <w:adjustRightInd w:val="0"/>
        <w:snapToGrid w:val="0"/>
        <w:spacing w:line="600" w:lineRule="exact"/>
        <w:ind w:firstLine="643" w:firstLineChars="200"/>
        <w:rPr>
          <w:rFonts w:ascii="仿宋_GB2312" w:hAnsi="Times New Roman" w:eastAsia="仿宋_GB2312" w:cs="Wingdings"/>
          <w:color w:val="000000"/>
          <w:sz w:val="32"/>
          <w:szCs w:val="32"/>
          <w:highlight w:val="yellow"/>
        </w:rPr>
      </w:pPr>
      <w:r>
        <w:rPr>
          <w:rFonts w:hint="eastAsia" w:ascii="仿宋_GB2312" w:hAnsi="Times New Roman" w:eastAsia="仿宋_GB2312" w:cs="Wingdings"/>
          <w:b/>
          <w:sz w:val="32"/>
          <w:szCs w:val="32"/>
        </w:rPr>
        <w:t>公务用车购置费支出：</w:t>
      </w:r>
      <w:r>
        <w:rPr>
          <w:rFonts w:hint="eastAsia" w:ascii="仿宋_GB2312" w:hAnsi="Times New Roman" w:eastAsia="仿宋_GB2312" w:cs="Wingdings"/>
          <w:sz w:val="32"/>
          <w:szCs w:val="32"/>
        </w:rPr>
        <w:t>本部门2020年度公务用车购置量</w:t>
      </w:r>
      <w:r>
        <w:rPr>
          <w:rFonts w:hint="eastAsia" w:ascii="仿宋_GB2312" w:hAnsi="Times New Roman" w:eastAsia="仿宋_GB2312" w:cs="Wingdings"/>
          <w:sz w:val="32"/>
          <w:szCs w:val="32"/>
          <w:lang w:eastAsia="zh-CN"/>
        </w:rPr>
        <w:t>与</w:t>
      </w:r>
      <w:r>
        <w:rPr>
          <w:rFonts w:hint="eastAsia" w:ascii="仿宋_GB2312" w:hAnsi="仿宋_GB2312" w:eastAsia="仿宋_GB2312" w:cs="仿宋_GB2312"/>
          <w:b w:val="0"/>
          <w:bCs w:val="0"/>
          <w:sz w:val="32"/>
          <w:szCs w:val="32"/>
          <w:lang w:val="en-US" w:eastAsia="zh-CN"/>
        </w:rPr>
        <w:t>2019年决算支出持平。</w:t>
      </w:r>
    </w:p>
    <w:p>
      <w:pPr>
        <w:adjustRightInd w:val="0"/>
        <w:snapToGrid w:val="0"/>
        <w:spacing w:line="600" w:lineRule="exact"/>
        <w:ind w:firstLine="643" w:firstLineChars="200"/>
        <w:rPr>
          <w:rFonts w:ascii="仿宋_GB2312" w:hAnsi="Times New Roman" w:eastAsia="仿宋_GB2312" w:cs="Wingdings"/>
          <w:sz w:val="32"/>
          <w:szCs w:val="32"/>
        </w:rPr>
      </w:pPr>
      <w:r>
        <w:rPr>
          <w:rFonts w:hint="eastAsia" w:ascii="仿宋_GB2312" w:hAnsi="Times New Roman" w:eastAsia="仿宋_GB2312" w:cs="Wingdings"/>
          <w:b/>
          <w:sz w:val="32"/>
          <w:szCs w:val="32"/>
        </w:rPr>
        <w:t>公务用车运行维护费支出：</w:t>
      </w:r>
      <w:r>
        <w:rPr>
          <w:rFonts w:hint="eastAsia" w:ascii="仿宋_GB2312" w:hAnsi="Times New Roman" w:eastAsia="仿宋_GB2312" w:cs="Wingdings"/>
          <w:sz w:val="32"/>
          <w:szCs w:val="32"/>
        </w:rPr>
        <w:t>本部门2020年度单位公务用车保有量</w:t>
      </w:r>
      <w:r>
        <w:rPr>
          <w:rFonts w:hint="eastAsia" w:ascii="仿宋_GB2312" w:hAnsi="仿宋_GB2312" w:eastAsia="仿宋_GB2312" w:cs="仿宋_GB2312"/>
          <w:b w:val="0"/>
          <w:bCs w:val="0"/>
          <w:sz w:val="32"/>
          <w:szCs w:val="32"/>
          <w:lang w:val="en-US" w:eastAsia="zh-CN"/>
        </w:rPr>
        <w:t>2019年决算支出持平。</w:t>
      </w:r>
    </w:p>
    <w:p>
      <w:pPr>
        <w:adjustRightInd w:val="0"/>
        <w:snapToGrid w:val="0"/>
        <w:spacing w:line="600" w:lineRule="exact"/>
        <w:ind w:firstLine="643" w:firstLineChars="200"/>
        <w:rPr>
          <w:rFonts w:ascii="仿宋_GB2312" w:hAnsi="Times New Roman" w:eastAsia="仿宋_GB2312" w:cs="Wingdings"/>
          <w:sz w:val="32"/>
          <w:szCs w:val="32"/>
          <w:highlight w:val="yellow"/>
        </w:rPr>
      </w:pPr>
      <w:r>
        <w:rPr>
          <w:rFonts w:hint="eastAsia" w:ascii="楷体_GB2312" w:hAnsi="Times New Roman" w:eastAsia="楷体_GB2312" w:cs="Mongolian Baiti"/>
          <w:b/>
          <w:bCs/>
          <w:sz w:val="32"/>
          <w:szCs w:val="32"/>
        </w:rPr>
        <w:t>3.公务接待费</w:t>
      </w:r>
      <w:r>
        <w:rPr>
          <w:rFonts w:hint="eastAsia" w:ascii="楷体_GB2312" w:hAnsi="Times New Roman" w:eastAsia="楷体_GB2312" w:cs="Mongolian Baiti"/>
          <w:b/>
          <w:bCs/>
          <w:sz w:val="32"/>
          <w:szCs w:val="32"/>
          <w:lang w:eastAsia="zh-CN"/>
        </w:rPr>
        <w:t>。</w:t>
      </w:r>
      <w:r>
        <w:rPr>
          <w:rFonts w:hint="eastAsia" w:ascii="仿宋_GB2312" w:hAnsi="仿宋_GB2312" w:eastAsia="仿宋_GB2312" w:cs="仿宋_GB2312"/>
          <w:b w:val="0"/>
          <w:bCs w:val="0"/>
          <w:sz w:val="32"/>
          <w:szCs w:val="32"/>
        </w:rPr>
        <w:t>本部门2020年公务用车购置及运行维护费支出</w:t>
      </w:r>
      <w:r>
        <w:rPr>
          <w:rFonts w:hint="eastAsia" w:ascii="仿宋_GB2312" w:hAnsi="仿宋_GB2312" w:eastAsia="仿宋_GB2312" w:cs="仿宋_GB2312"/>
          <w:b w:val="0"/>
          <w:bCs w:val="0"/>
          <w:sz w:val="32"/>
          <w:szCs w:val="32"/>
          <w:lang w:val="en-US" w:eastAsia="zh-CN"/>
        </w:rPr>
        <w:t>2019年决算支出持平。</w:t>
      </w:r>
    </w:p>
    <w:p>
      <w:pPr>
        <w:adjustRightInd w:val="0"/>
        <w:snapToGrid w:val="0"/>
        <w:spacing w:line="60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（一）预算绩效管理工作开展情况。</w:t>
      </w:r>
    </w:p>
    <w:p>
      <w:pPr>
        <w:adjustRightInd w:val="0"/>
        <w:snapToGrid w:val="0"/>
        <w:spacing w:line="600" w:lineRule="exact"/>
        <w:ind w:firstLine="640" w:firstLineChars="200"/>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根据预算绩效管理要求，本部门组织对2020年度项目支出全面开展绩效自评，组织对</w:t>
      </w:r>
      <w:r>
        <w:rPr>
          <w:rFonts w:hint="eastAsia" w:ascii="仿宋_GB2312" w:hAnsi="仿宋_GB2312" w:eastAsia="仿宋_GB2312" w:cs="仿宋_GB2312"/>
          <w:sz w:val="32"/>
          <w:szCs w:val="32"/>
          <w:lang w:eastAsia="zh-CN"/>
        </w:rPr>
        <w:t>《民办代课教师教龄补助》</w:t>
      </w:r>
      <w:r>
        <w:rPr>
          <w:rFonts w:hint="eastAsia" w:ascii="仿宋_GB2312" w:hAnsi="仿宋_GB2312" w:eastAsia="仿宋_GB2312" w:cs="仿宋_GB2312"/>
          <w:sz w:val="32"/>
          <w:szCs w:val="32"/>
        </w:rPr>
        <w:t>项目开展了部门评价，涉及支出</w:t>
      </w:r>
      <w:r>
        <w:rPr>
          <w:rFonts w:hint="eastAsia" w:ascii="仿宋_GB2312" w:hAnsi="仿宋_GB2312" w:eastAsia="仿宋_GB2312" w:cs="仿宋_GB2312"/>
          <w:sz w:val="32"/>
          <w:szCs w:val="32"/>
          <w:lang w:val="en-US" w:eastAsia="zh-CN"/>
        </w:rPr>
        <w:t>61.02</w:t>
      </w:r>
      <w:r>
        <w:rPr>
          <w:rFonts w:hint="eastAsia" w:ascii="仿宋_GB2312" w:hAnsi="仿宋_GB2312" w:eastAsia="仿宋_GB2312" w:cs="仿宋_GB2312"/>
          <w:sz w:val="32"/>
          <w:szCs w:val="32"/>
        </w:rPr>
        <w:t>万元。对</w:t>
      </w:r>
      <w:r>
        <w:rPr>
          <w:rFonts w:hint="eastAsia" w:ascii="仿宋_GB2312" w:hAnsi="仿宋_GB2312" w:eastAsia="仿宋_GB2312" w:cs="仿宋_GB2312"/>
          <w:sz w:val="32"/>
          <w:szCs w:val="32"/>
          <w:lang w:eastAsia="zh-CN"/>
        </w:rPr>
        <w:t>以上</w:t>
      </w:r>
      <w:r>
        <w:rPr>
          <w:rFonts w:hint="eastAsia" w:ascii="仿宋_GB2312" w:hAnsi="仿宋_GB2312" w:eastAsia="仿宋_GB2312" w:cs="仿宋_GB2312"/>
          <w:sz w:val="32"/>
          <w:szCs w:val="32"/>
        </w:rPr>
        <w:t>项目委托</w:t>
      </w:r>
      <w:r>
        <w:rPr>
          <w:rFonts w:hint="eastAsia" w:ascii="仿宋_GB2312" w:hAnsi="仿宋_GB2312" w:eastAsia="仿宋_GB2312" w:cs="仿宋_GB2312"/>
          <w:sz w:val="32"/>
          <w:szCs w:val="32"/>
          <w:lang w:eastAsia="zh-CN"/>
        </w:rPr>
        <w:t>承德硕彤会计师事务所</w:t>
      </w:r>
      <w:r>
        <w:rPr>
          <w:rFonts w:hint="eastAsia" w:ascii="仿宋_GB2312" w:hAnsi="仿宋_GB2312" w:eastAsia="仿宋_GB2312" w:cs="仿宋_GB2312"/>
          <w:sz w:val="32"/>
          <w:szCs w:val="32"/>
        </w:rPr>
        <w:t>开展绩效评价。从评价情况来看，</w:t>
      </w:r>
      <w:r>
        <w:rPr>
          <w:rFonts w:hint="eastAsia" w:ascii="仿宋_GB2312" w:hAnsi="仿宋_GB2312" w:eastAsia="仿宋_GB2312" w:cs="仿宋_GB2312"/>
          <w:sz w:val="32"/>
          <w:szCs w:val="32"/>
          <w:lang w:eastAsia="zh-CN"/>
        </w:rPr>
        <w:t>预算执行率</w:t>
      </w:r>
      <w:r>
        <w:rPr>
          <w:rFonts w:hint="eastAsia" w:ascii="仿宋_GB2312" w:hAnsi="仿宋_GB2312" w:eastAsia="仿宋_GB2312" w:cs="仿宋_GB2312"/>
          <w:sz w:val="32"/>
          <w:szCs w:val="32"/>
          <w:lang w:val="en-US" w:eastAsia="zh-CN"/>
        </w:rPr>
        <w:t>100%。</w:t>
      </w:r>
    </w:p>
    <w:p>
      <w:pPr>
        <w:adjustRightInd w:val="0"/>
        <w:snapToGrid w:val="0"/>
        <w:spacing w:line="60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 部门决算中项目绩效自评结果。</w:t>
      </w:r>
    </w:p>
    <w:p>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本部门在今年部门决算公开中反映</w:t>
      </w:r>
      <w:r>
        <w:rPr>
          <w:rFonts w:hint="eastAsia" w:ascii="仿宋_GB2312" w:hAnsi="仿宋_GB2312" w:eastAsia="仿宋_GB2312" w:cs="仿宋_GB2312"/>
          <w:sz w:val="32"/>
          <w:szCs w:val="32"/>
          <w:lang w:eastAsia="zh-CN"/>
        </w:rPr>
        <w:t>《民办代课教师教龄补助》</w:t>
      </w:r>
      <w:r>
        <w:rPr>
          <w:rFonts w:hint="eastAsia" w:ascii="仿宋_GB2312" w:hAnsi="仿宋_GB2312" w:eastAsia="仿宋_GB2312" w:cs="仿宋_GB2312"/>
          <w:sz w:val="32"/>
          <w:szCs w:val="32"/>
        </w:rPr>
        <w:t>项目绩效自评结果。</w:t>
      </w:r>
    </w:p>
    <w:p>
      <w:pPr>
        <w:pStyle w:val="2"/>
      </w:pPr>
    </w:p>
    <w:p>
      <w:pPr>
        <w:numPr>
          <w:ilvl w:val="0"/>
          <w:numId w:val="0"/>
        </w:numPr>
        <w:adjustRightInd w:val="0"/>
        <w:snapToGrid w:val="0"/>
        <w:spacing w:line="6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《民办代课教师教龄补助》</w:t>
      </w:r>
      <w:r>
        <w:rPr>
          <w:rFonts w:hint="eastAsia" w:ascii="仿宋_GB2312" w:hAnsi="仿宋_GB2312" w:eastAsia="仿宋_GB2312" w:cs="仿宋_GB2312"/>
          <w:sz w:val="32"/>
          <w:szCs w:val="32"/>
        </w:rPr>
        <w:t>项目自评综述：根据年初设定的绩效目标，</w:t>
      </w:r>
      <w:r>
        <w:rPr>
          <w:rFonts w:hint="eastAsia" w:ascii="仿宋_GB2312" w:hAnsi="仿宋_GB2312" w:eastAsia="仿宋_GB2312" w:cs="仿宋_GB2312"/>
          <w:sz w:val="32"/>
          <w:szCs w:val="32"/>
          <w:lang w:eastAsia="zh-CN"/>
        </w:rPr>
        <w:t>《民办代课教师教龄补助》</w:t>
      </w:r>
      <w:r>
        <w:rPr>
          <w:rFonts w:hint="eastAsia" w:ascii="仿宋_GB2312" w:hAnsi="仿宋_GB2312" w:eastAsia="仿宋_GB2312" w:cs="仿宋_GB2312"/>
          <w:sz w:val="32"/>
          <w:szCs w:val="32"/>
        </w:rPr>
        <w:t>项目绩效自评得分为</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分（绩效自评表附后）。全年预算数为</w:t>
      </w:r>
      <w:r>
        <w:rPr>
          <w:rFonts w:hint="eastAsia" w:ascii="仿宋_GB2312" w:hAnsi="仿宋_GB2312" w:eastAsia="仿宋_GB2312" w:cs="仿宋_GB2312"/>
          <w:sz w:val="32"/>
          <w:szCs w:val="32"/>
          <w:lang w:val="en-US" w:eastAsia="zh-CN"/>
        </w:rPr>
        <w:t>62.3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实际到位</w:t>
      </w:r>
      <w:r>
        <w:rPr>
          <w:rFonts w:hint="eastAsia" w:ascii="仿宋_GB2312" w:hAnsi="仿宋_GB2312" w:eastAsia="仿宋_GB2312" w:cs="仿宋_GB2312"/>
          <w:sz w:val="32"/>
          <w:szCs w:val="32"/>
          <w:lang w:val="en-US" w:eastAsia="zh-CN"/>
        </w:rPr>
        <w:t>61.02万元，</w:t>
      </w:r>
      <w:r>
        <w:rPr>
          <w:rFonts w:hint="eastAsia" w:ascii="仿宋_GB2312" w:hAnsi="仿宋_GB2312" w:eastAsia="仿宋_GB2312" w:cs="仿宋_GB2312"/>
          <w:sz w:val="32"/>
          <w:szCs w:val="32"/>
        </w:rPr>
        <w:t>执行数为</w:t>
      </w:r>
      <w:r>
        <w:rPr>
          <w:rFonts w:hint="eastAsia" w:ascii="仿宋_GB2312" w:hAnsi="仿宋_GB2312" w:eastAsia="仿宋_GB2312" w:cs="仿宋_GB2312"/>
          <w:sz w:val="32"/>
          <w:szCs w:val="32"/>
          <w:lang w:val="en-US" w:eastAsia="zh-CN"/>
        </w:rPr>
        <w:t>61.02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keepNext/>
        <w:keepLines/>
        <w:snapToGrid w:val="0"/>
        <w:spacing w:line="600" w:lineRule="exact"/>
        <w:ind w:firstLine="640" w:firstLineChars="200"/>
        <w:outlineLvl w:val="1"/>
        <w:rPr>
          <w:rFonts w:ascii="黑体" w:hAnsi="黑体" w:eastAsia="黑体" w:cs="黑体"/>
          <w:b/>
          <w:bCs/>
          <w:sz w:val="32"/>
          <w:szCs w:val="32"/>
        </w:rPr>
      </w:pPr>
      <w:r>
        <w:rPr>
          <w:rFonts w:hint="eastAsia" w:ascii="黑体" w:hAnsi="黑体" w:eastAsia="黑体" w:cs="黑体"/>
          <w:sz w:val="32"/>
          <w:szCs w:val="32"/>
        </w:rPr>
        <w:t>七、机关运行经费情况</w:t>
      </w:r>
    </w:p>
    <w:p>
      <w:pPr>
        <w:adjustRightInd w:val="0"/>
        <w:snapToGrid w:val="0"/>
        <w:spacing w:line="600" w:lineRule="exact"/>
        <w:ind w:firstLine="640" w:firstLineChars="200"/>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本部门2020年度机关运行经费支出</w:t>
      </w:r>
      <w:r>
        <w:rPr>
          <w:rFonts w:hint="eastAsia" w:ascii="仿宋_GB2312" w:hAnsi="仿宋_GB2312" w:eastAsia="仿宋_GB2312" w:cs="仿宋_GB2312"/>
          <w:sz w:val="32"/>
          <w:szCs w:val="32"/>
          <w:lang w:val="en-US" w:eastAsia="zh-CN"/>
        </w:rPr>
        <w:t>42.96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2019</w:t>
      </w:r>
      <w:r>
        <w:rPr>
          <w:rFonts w:hint="eastAsia" w:ascii="仿宋_GB2312" w:hAnsi="仿宋_GB2312" w:eastAsia="仿宋_GB2312" w:cs="仿宋_GB2312"/>
          <w:sz w:val="32"/>
          <w:szCs w:val="32"/>
          <w:lang w:eastAsia="zh-CN"/>
        </w:rPr>
        <w:t>年相比基本保持持平。</w:t>
      </w:r>
    </w:p>
    <w:p>
      <w:pPr>
        <w:keepNext/>
        <w:keepLines/>
        <w:snapToGrid w:val="0"/>
        <w:spacing w:line="60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八、政府采购情况</w:t>
      </w:r>
    </w:p>
    <w:p>
      <w:pPr>
        <w:snapToGrid w:val="0"/>
        <w:spacing w:line="600" w:lineRule="exact"/>
        <w:ind w:firstLine="640" w:firstLineChars="200"/>
        <w:jc w:val="left"/>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本部门2020年度政府采购支出总额</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万元，从采购类型来看，</w:t>
      </w:r>
      <w:r>
        <w:rPr>
          <w:rFonts w:hint="eastAsia" w:ascii="仿宋_GB2312" w:hAnsi="仿宋_GB2312" w:eastAsia="仿宋_GB2312" w:cs="仿宋_GB2312"/>
          <w:color w:val="000000"/>
          <w:kern w:val="0"/>
          <w:sz w:val="32"/>
          <w:szCs w:val="32"/>
          <w:lang w:bidi="ar"/>
        </w:rPr>
        <w:t>政府采购货物支出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 xml:space="preserve"> 万元、政府采购工程支出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万元、政府采购服务支出</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万元。授予中小企业合同金</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万元，占政府采购支出总额的</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%，其中授予小微企业合同金额</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 xml:space="preserve">万元，占政府采购支出总额的 </w:t>
      </w:r>
      <w:r>
        <w:rPr>
          <w:rFonts w:hint="eastAsia" w:ascii="仿宋_GB2312" w:hAnsi="仿宋_GB2312" w:eastAsia="仿宋_GB2312" w:cs="仿宋_GB2312"/>
          <w:color w:val="000000"/>
          <w:kern w:val="0"/>
          <w:sz w:val="32"/>
          <w:szCs w:val="32"/>
          <w:lang w:val="en-US" w:eastAsia="zh-CN" w:bidi="ar"/>
        </w:rPr>
        <w:t>0</w:t>
      </w:r>
      <w:r>
        <w:rPr>
          <w:rFonts w:hint="eastAsia" w:ascii="仿宋_GB2312" w:hAnsi="仿宋_GB2312" w:eastAsia="仿宋_GB2312" w:cs="仿宋_GB2312"/>
          <w:color w:val="000000"/>
          <w:kern w:val="0"/>
          <w:sz w:val="32"/>
          <w:szCs w:val="32"/>
          <w:lang w:bidi="ar"/>
        </w:rPr>
        <w:t>%。</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九、国有资产占用情况</w:t>
      </w:r>
    </w:p>
    <w:p>
      <w:pPr>
        <w:adjustRightInd w:val="0"/>
        <w:snapToGrid w:val="0"/>
        <w:spacing w:line="600" w:lineRule="exact"/>
        <w:ind w:firstLine="640"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截至2020年12月31日，本部门共有车辆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辆，单位价值50万元以上通用设备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lang w:val="en-US" w:eastAsia="zh-CN"/>
        </w:rPr>
        <w:t>2019年持平</w:t>
      </w:r>
    </w:p>
    <w:p>
      <w:pPr>
        <w:keepNext/>
        <w:keepLines/>
        <w:snapToGrid w:val="0"/>
        <w:spacing w:line="600" w:lineRule="exact"/>
        <w:ind w:firstLine="640" w:firstLineChars="200"/>
        <w:outlineLvl w:val="2"/>
        <w:rPr>
          <w:rFonts w:ascii="黑体" w:hAnsi="黑体" w:eastAsia="黑体" w:cs="黑体"/>
          <w:sz w:val="32"/>
          <w:szCs w:val="32"/>
        </w:rPr>
      </w:pPr>
      <w:r>
        <w:rPr>
          <w:rFonts w:hint="eastAsia" w:ascii="黑体" w:hAnsi="黑体" w:eastAsia="黑体" w:cs="黑体"/>
          <w:sz w:val="32"/>
          <w:szCs w:val="32"/>
        </w:rPr>
        <w:t>十、其他需要说明的情况</w:t>
      </w:r>
    </w:p>
    <w:p>
      <w:pPr>
        <w:adjustRightInd w:val="0"/>
        <w:snapToGrid w:val="0"/>
        <w:spacing w:line="580" w:lineRule="exact"/>
        <w:ind w:firstLine="640" w:firstLineChars="200"/>
        <w:rPr>
          <w:rFonts w:hint="eastAsia" w:ascii="仿宋_GB2312" w:hAnsi="Times New Roman" w:eastAsia="仿宋_GB2312" w:cs="DengXian-Regular"/>
          <w:sz w:val="32"/>
          <w:szCs w:val="32"/>
        </w:rPr>
      </w:pPr>
      <w:r>
        <w:rPr>
          <w:rFonts w:hint="eastAsia" w:ascii="仿宋_GB2312" w:hAnsi="Times New Roman" w:eastAsia="仿宋_GB2312" w:cs="DengXian-Regular"/>
          <w:sz w:val="32"/>
          <w:szCs w:val="32"/>
        </w:rPr>
        <w:t>1.本部门</w:t>
      </w:r>
      <w:r>
        <w:rPr>
          <w:rFonts w:hint="eastAsia" w:ascii="仿宋_GB2312" w:hAnsi="Times New Roman" w:eastAsia="仿宋_GB2312" w:cs="DengXian-Regular"/>
          <w:sz w:val="32"/>
          <w:szCs w:val="32"/>
          <w:lang w:val="en-US" w:eastAsia="zh-CN"/>
        </w:rPr>
        <w:t>2020</w:t>
      </w:r>
      <w:r>
        <w:rPr>
          <w:rFonts w:hint="eastAsia" w:ascii="仿宋_GB2312" w:hAnsi="Times New Roman" w:eastAsia="仿宋_GB2312" w:cs="DengXian-Regular"/>
          <w:sz w:val="32"/>
          <w:szCs w:val="32"/>
          <w:lang w:eastAsia="zh-CN"/>
        </w:rPr>
        <w:t>年</w:t>
      </w:r>
      <w:r>
        <w:rPr>
          <w:rFonts w:hint="eastAsia" w:ascii="仿宋_GB2312" w:hAnsi="Times New Roman" w:eastAsia="仿宋_GB2312" w:cs="DengXian-Regular"/>
          <w:sz w:val="32"/>
          <w:szCs w:val="32"/>
        </w:rPr>
        <w:t>度</w:t>
      </w:r>
      <w:r>
        <w:rPr>
          <w:rFonts w:hint="eastAsia" w:ascii="仿宋_GB2312" w:hAnsi="Times New Roman" w:eastAsia="仿宋_GB2312" w:cs="DengXian-Regular"/>
          <w:sz w:val="32"/>
          <w:szCs w:val="32"/>
          <w:lang w:val="en-US" w:eastAsia="zh-CN"/>
        </w:rPr>
        <w:t>政府性基金财政拨款收入及国有资本经营预算财政拨款收入</w:t>
      </w:r>
      <w:r>
        <w:rPr>
          <w:rFonts w:hint="eastAsia" w:ascii="仿宋_GB2312" w:hAnsi="Times New Roman" w:eastAsia="仿宋_GB2312" w:cs="DengXian-Regular"/>
          <w:sz w:val="32"/>
          <w:szCs w:val="32"/>
        </w:rPr>
        <w:t>无收支及结转结余情况，故</w:t>
      </w:r>
      <w:r>
        <w:rPr>
          <w:rFonts w:hint="eastAsia" w:ascii="仿宋_GB2312" w:hAnsi="Times New Roman" w:eastAsia="仿宋_GB2312" w:cs="DengXian-Regular"/>
          <w:sz w:val="32"/>
          <w:szCs w:val="32"/>
          <w:lang w:val="en-US" w:eastAsia="zh-CN"/>
        </w:rPr>
        <w:t>政府性基金预算财政拨款收入支出决算表</w:t>
      </w:r>
      <w:r>
        <w:rPr>
          <w:rFonts w:hint="eastAsia" w:ascii="仿宋_GB2312" w:hAnsi="Times New Roman" w:eastAsia="仿宋_GB2312" w:cs="DengXian-Regular"/>
          <w:sz w:val="32"/>
          <w:szCs w:val="32"/>
        </w:rPr>
        <w:t>表</w:t>
      </w:r>
      <w:r>
        <w:rPr>
          <w:rFonts w:hint="eastAsia" w:ascii="仿宋_GB2312" w:hAnsi="Times New Roman" w:eastAsia="仿宋_GB2312" w:cs="DengXian-Regular"/>
          <w:sz w:val="32"/>
          <w:szCs w:val="32"/>
          <w:lang w:eastAsia="zh-CN"/>
        </w:rPr>
        <w:t>及</w:t>
      </w:r>
      <w:r>
        <w:rPr>
          <w:rFonts w:hint="eastAsia" w:ascii="仿宋_GB2312" w:hAnsi="Times New Roman" w:eastAsia="仿宋_GB2312" w:cs="DengXian-Regular"/>
          <w:sz w:val="32"/>
          <w:szCs w:val="32"/>
          <w:lang w:val="en-US" w:eastAsia="zh-CN"/>
        </w:rPr>
        <w:t>国有资本经营预算财政拨款支出决算表</w:t>
      </w:r>
      <w:r>
        <w:rPr>
          <w:rFonts w:hint="eastAsia" w:ascii="仿宋_GB2312" w:hAnsi="Times New Roman" w:eastAsia="仿宋_GB2312" w:cs="DengXian-Regular"/>
          <w:sz w:val="32"/>
          <w:szCs w:val="32"/>
        </w:rPr>
        <w:t>以空表列示。</w:t>
      </w:r>
    </w:p>
    <w:p>
      <w:pPr>
        <w:adjustRightInd w:val="0"/>
        <w:snapToGrid w:val="0"/>
        <w:spacing w:line="580" w:lineRule="exact"/>
        <w:ind w:firstLine="640" w:firstLineChars="200"/>
        <w:rPr>
          <w:rFonts w:ascii="仿宋_GB2312" w:hAnsi="Times New Roman" w:eastAsia="仿宋_GB2312" w:cs="DengXian-Regular"/>
          <w:sz w:val="32"/>
          <w:szCs w:val="32"/>
        </w:rPr>
      </w:pPr>
      <w:r>
        <w:rPr>
          <w:rFonts w:hint="eastAsia" w:ascii="仿宋_GB2312" w:hAnsi="Times New Roman" w:eastAsia="仿宋_GB2312" w:cs="DengXian-Regular"/>
          <w:sz w:val="32"/>
          <w:szCs w:val="32"/>
        </w:rPr>
        <w:t>2.由于决算公开表格中金额数值应当保留两位小数，公开数据为四舍五入计算结果，个别数据合计项与分项之和存在小数点后差额，特此说明。</w:t>
      </w:r>
    </w:p>
    <w:p>
      <w:pPr>
        <w:widowControl/>
        <w:spacing w:line="580" w:lineRule="exact"/>
        <w:ind w:firstLine="883" w:firstLineChars="200"/>
        <w:jc w:val="left"/>
        <w:rPr>
          <w:rFonts w:ascii="宋体" w:hAnsi="宋体" w:eastAsia="宋体" w:cs="MS-UIGothic,Bold"/>
          <w:b/>
          <w:bCs/>
          <w:kern w:val="0"/>
          <w:sz w:val="44"/>
          <w:szCs w:val="44"/>
        </w:rPr>
        <w:sectPr>
          <w:pgSz w:w="11906" w:h="16838"/>
          <w:pgMar w:top="2098" w:right="1474" w:bottom="1984" w:left="1588" w:header="851" w:footer="992" w:gutter="0"/>
          <w:pgNumType w:fmt="numberInDash"/>
          <w:cols w:space="0" w:num="1"/>
          <w:docGrid w:type="lines" w:linePitch="312" w:charSpace="0"/>
        </w:sect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hint="eastAsia"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r>
        <w:rPr>
          <w:sz w:val="72"/>
        </w:rPr>
        <mc:AlternateContent>
          <mc:Choice Requires="wps">
            <w:drawing>
              <wp:anchor distT="0" distB="0" distL="114300" distR="114300" simplePos="0" relativeHeight="251660288" behindDoc="0" locked="0" layoutInCell="1" allowOverlap="1">
                <wp:simplePos x="0" y="0"/>
                <wp:positionH relativeFrom="column">
                  <wp:posOffset>-1287145</wp:posOffset>
                </wp:positionH>
                <wp:positionV relativeFrom="paragraph">
                  <wp:posOffset>218440</wp:posOffset>
                </wp:positionV>
                <wp:extent cx="7983855" cy="3407410"/>
                <wp:effectExtent l="4445" t="4445" r="12700" b="17145"/>
                <wp:wrapNone/>
                <wp:docPr id="188" name="文本框 188"/>
                <wp:cNvGraphicFramePr/>
                <a:graphic xmlns:a="http://schemas.openxmlformats.org/drawingml/2006/main">
                  <a:graphicData uri="http://schemas.microsoft.com/office/word/2010/wordprocessingShape">
                    <wps:wsp>
                      <wps:cNvSpPr txBox="1"/>
                      <wps:spPr>
                        <a:xfrm>
                          <a:off x="0" y="0"/>
                          <a:ext cx="7983855" cy="3407410"/>
                        </a:xfrm>
                        <a:prstGeom prst="rect">
                          <a:avLst/>
                        </a:prstGeom>
                        <a:pattFill prst="pct5">
                          <a:fgClr>
                            <a:schemeClr val="bg1">
                              <a:lumMod val="50000"/>
                            </a:schemeClr>
                          </a:fgClr>
                          <a:bgClr>
                            <a:schemeClr val="bg1"/>
                          </a:bgClr>
                        </a:pattFill>
                        <a:ln w="6350">
                          <a:solidFill>
                            <a:schemeClr val="bg1">
                              <a:lumMod val="50000"/>
                            </a:schemeClr>
                          </a:solidFill>
                        </a:ln>
                      </wps:spPr>
                      <wps:style>
                        <a:lnRef idx="0">
                          <a:schemeClr val="accent1"/>
                        </a:lnRef>
                        <a:fillRef idx="0">
                          <a:schemeClr val="accent1"/>
                        </a:fillRef>
                        <a:effectRef idx="0">
                          <a:schemeClr val="accent1"/>
                        </a:effectRef>
                        <a:fontRef idx="minor">
                          <a:schemeClr val="dk1"/>
                        </a:fontRef>
                      </wps:style>
                      <wps:txb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101.35pt;margin-top:17.2pt;height:268.3pt;width:628.65pt;z-index:251660288;v-text-anchor:middle;mso-width-relative:page;mso-height-relative:page;" fillcolor="#7F7F7F [1612]" filled="t" stroked="t" coordsize="21600,21600" o:gfxdata="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1Zo882gAAAAwBAAAP&#10;AAAAAAAAAAEAIAAAACIAAABkcnMvZG93bnJldi54bWxQSwECFAAUAAAACACHTuJAIG/mTIgCAABM&#10;BQAADgAAAAAAAAABACAAAAApAQAAZHJzL2Uyb0RvYy54bWxQSwUGAAAAAAYABgBZAQAAIwYAAAAA&#10;">
                <v:fill type="pattern" on="t" color2="#FFFFFF [3212]" o:title="5%" focussize="0,0" r:id="rId10"/>
                <v:stroke weight="0.5pt" color="#7F7F7F [1612]" joinstyle="round"/>
                <v:imagedata o:title=""/>
                <o:lock v:ext="edit" aspectratio="f"/>
                <v:textbox>
                  <w:txbxContent>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第三部分 相关名词解释</w:t>
                      </w:r>
                    </w:p>
                  </w:txbxContent>
                </v:textbox>
              </v:shape>
            </w:pict>
          </mc:Fallback>
        </mc:AlternateContent>
      </w: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rPr>
          <w:rFonts w:ascii="仿宋_GB2312" w:hAnsi="宋体" w:eastAsia="仿宋_GB2312" w:cs="Arial Black"/>
          <w:sz w:val="32"/>
          <w:szCs w:val="32"/>
        </w:rPr>
      </w:pPr>
    </w:p>
    <w:p>
      <w:pPr>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（一）财政拨款收入：</w:t>
      </w:r>
      <w:r>
        <w:rPr>
          <w:rFonts w:hint="eastAsia" w:ascii="仿宋_GB2312" w:hAnsi="宋体" w:eastAsia="仿宋_GB2312" w:cs="Times New Roman"/>
          <w:color w:val="000000"/>
          <w:kern w:val="0"/>
          <w:sz w:val="32"/>
          <w:szCs w:val="32"/>
        </w:rPr>
        <w:t>本年度从本级财政部门取得的财政拨款，包括一般公共预算财政拨款和政府性基金预算财政拨款。</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（二）事业收入：</w:t>
      </w:r>
      <w:r>
        <w:rPr>
          <w:rFonts w:hint="eastAsia" w:ascii="仿宋_GB2312" w:hAnsi="宋体" w:eastAsia="仿宋_GB2312" w:cs="Times New Roman"/>
          <w:color w:val="000000"/>
          <w:kern w:val="0"/>
          <w:sz w:val="32"/>
          <w:szCs w:val="32"/>
        </w:rPr>
        <w:t>指事业单位开展专业业务活动及辅助活动所取得的收入。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（三）其他收入：</w:t>
      </w:r>
      <w:r>
        <w:rPr>
          <w:rFonts w:hint="eastAsia" w:ascii="仿宋_GB2312" w:hAnsi="宋体" w:eastAsia="仿宋_GB2312" w:cs="Times New Roman"/>
          <w:color w:val="000000"/>
          <w:kern w:val="0"/>
          <w:sz w:val="32"/>
          <w:szCs w:val="32"/>
        </w:rPr>
        <w:t>指除上述“财政拨款收入”“事业收入”“经营收入”等以外的收入。</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（四）年初结转和结余：</w:t>
      </w:r>
      <w:r>
        <w:rPr>
          <w:rFonts w:hint="eastAsia" w:ascii="仿宋_GB2312" w:hAnsi="宋体" w:eastAsia="仿宋_GB2312" w:cs="Times New Roman"/>
          <w:color w:val="000000"/>
          <w:kern w:val="0"/>
          <w:sz w:val="32"/>
          <w:szCs w:val="32"/>
        </w:rPr>
        <w:t>指以前年度尚未完成、结转到本年仍按原规定用途继续使用的资金，或项目已完成等产生的结余资金。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（五）结余分配：</w:t>
      </w:r>
      <w:r>
        <w:rPr>
          <w:rFonts w:hint="eastAsia" w:ascii="仿宋_GB2312" w:hAnsi="宋体" w:eastAsia="仿宋_GB2312" w:cs="Times New Roman"/>
          <w:color w:val="000000"/>
          <w:kern w:val="0"/>
          <w:sz w:val="32"/>
          <w:szCs w:val="32"/>
        </w:rPr>
        <w:t>指事业单位按照事业单位会计制度的规定从非财政补助结余中分配的事业基金和职工福利基金等。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（六）年末结转和结余：</w:t>
      </w:r>
      <w:r>
        <w:rPr>
          <w:rFonts w:hint="eastAsia" w:ascii="仿宋_GB2312" w:hAnsi="宋体" w:eastAsia="仿宋_GB2312" w:cs="Times New Roman"/>
          <w:color w:val="000000"/>
          <w:kern w:val="0"/>
          <w:sz w:val="32"/>
          <w:szCs w:val="32"/>
        </w:rPr>
        <w:t>指单位按有关规定结转到下年或以后年度继续使用的资金，或项目已完成等产生的结余资金。</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（七）基本支出：</w:t>
      </w:r>
      <w:r>
        <w:rPr>
          <w:rFonts w:hint="eastAsia" w:ascii="仿宋_GB2312" w:hAnsi="宋体" w:eastAsia="仿宋_GB2312" w:cs="Times New Roman"/>
          <w:color w:val="000000"/>
          <w:kern w:val="0"/>
          <w:sz w:val="32"/>
          <w:szCs w:val="32"/>
        </w:rPr>
        <w:t>填列单位为保障机构正常运转、完成日常工作任务而发生的各项支出。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（八）项目支出：</w:t>
      </w:r>
      <w:r>
        <w:rPr>
          <w:rFonts w:hint="eastAsia" w:ascii="仿宋_GB2312" w:hAnsi="宋体" w:eastAsia="仿宋_GB2312" w:cs="Times New Roman"/>
          <w:color w:val="000000"/>
          <w:kern w:val="0"/>
          <w:sz w:val="32"/>
          <w:szCs w:val="32"/>
        </w:rPr>
        <w:t>填列单位为完成特定的行政工作任务或事业发展目标，在基本支出之外发生的各项支出</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（九）基本建设支出：</w:t>
      </w:r>
      <w:r>
        <w:rPr>
          <w:rFonts w:hint="eastAsia" w:ascii="仿宋_GB2312" w:hAnsi="宋体"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和政府性基金预算财政拨款支出，不包括财政专户管理资金以及各类拼盘自筹资金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（十）其他资本性支出：</w:t>
      </w:r>
      <w:r>
        <w:rPr>
          <w:rFonts w:hint="eastAsia" w:ascii="仿宋_GB2312" w:hAnsi="宋体"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（十一）“三公”经费：</w:t>
      </w:r>
      <w:r>
        <w:rPr>
          <w:rFonts w:hint="eastAsia" w:ascii="仿宋_GB2312" w:hAnsi="宋体"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（十二）其他交通费用：</w:t>
      </w:r>
      <w:r>
        <w:rPr>
          <w:rFonts w:hint="eastAsia" w:ascii="仿宋_GB2312" w:hAnsi="宋体"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（十三）公务用车购置：</w:t>
      </w:r>
      <w:r>
        <w:rPr>
          <w:rFonts w:hint="eastAsia" w:ascii="仿宋_GB2312" w:hAnsi="宋体" w:eastAsia="仿宋_GB2312" w:cs="Times New Roman"/>
          <w:color w:val="000000"/>
          <w:kern w:val="0"/>
          <w:sz w:val="32"/>
          <w:szCs w:val="32"/>
        </w:rPr>
        <w:t>填列单位公务用车车辆购置支出（含车辆购置税、牌照费）。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（十四）其他交通工具购置：</w:t>
      </w:r>
      <w:r>
        <w:rPr>
          <w:rFonts w:hint="eastAsia" w:ascii="仿宋_GB2312" w:hAnsi="宋体" w:eastAsia="仿宋_GB2312" w:cs="Times New Roman"/>
          <w:color w:val="000000"/>
          <w:kern w:val="0"/>
          <w:sz w:val="32"/>
          <w:szCs w:val="32"/>
        </w:rPr>
        <w:t>填列单位除公务用车外的其他各类交通工具（如船舶、飞机等）购置支出（含车辆购置税、牌照费）。</w:t>
      </w:r>
    </w:p>
    <w:p>
      <w:pPr>
        <w:widowControl/>
        <w:spacing w:line="600" w:lineRule="exact"/>
        <w:ind w:firstLine="643" w:firstLineChars="200"/>
        <w:rPr>
          <w:rFonts w:ascii="仿宋_GB2312" w:hAnsi="宋体" w:eastAsia="仿宋_GB2312" w:cs="Times New Roman"/>
          <w:color w:val="000000"/>
          <w:kern w:val="0"/>
          <w:sz w:val="32"/>
          <w:szCs w:val="32"/>
        </w:rPr>
      </w:pPr>
      <w:r>
        <w:rPr>
          <w:rFonts w:hint="eastAsia" w:ascii="仿宋_GB2312" w:hAnsi="宋体" w:eastAsia="仿宋_GB2312" w:cs="Times New Roman"/>
          <w:b/>
          <w:bCs/>
          <w:color w:val="000000"/>
          <w:kern w:val="0"/>
          <w:sz w:val="32"/>
          <w:szCs w:val="32"/>
        </w:rPr>
        <w:t>（十五）机关运行经费：</w:t>
      </w:r>
      <w:r>
        <w:rPr>
          <w:rFonts w:hint="eastAsia" w:ascii="仿宋_GB2312" w:hAnsi="宋体"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spacing w:line="600" w:lineRule="exact"/>
        <w:ind w:firstLine="643" w:firstLineChars="200"/>
        <w:jc w:val="left"/>
        <w:rPr>
          <w:rFonts w:ascii="仿宋_GB2312" w:hAnsi="Cambria" w:eastAsia="仿宋_GB2312" w:cs="Arial Black"/>
          <w:kern w:val="0"/>
          <w:sz w:val="32"/>
          <w:szCs w:val="32"/>
        </w:rPr>
      </w:pPr>
      <w:r>
        <w:rPr>
          <w:rFonts w:hint="eastAsia" w:ascii="仿宋_GB2312" w:hAnsi="宋体" w:eastAsia="仿宋_GB2312" w:cs="Times New Roman"/>
          <w:b/>
          <w:bCs/>
          <w:color w:val="000000"/>
          <w:kern w:val="0"/>
          <w:sz w:val="32"/>
          <w:szCs w:val="32"/>
        </w:rPr>
        <w:t>（十六）经费形式:</w:t>
      </w:r>
      <w:r>
        <w:rPr>
          <w:rFonts w:hint="eastAsia" w:ascii="仿宋_GB2312" w:hAnsi="宋体" w:eastAsia="仿宋_GB2312" w:cs="Times New Roman"/>
          <w:color w:val="000000"/>
          <w:kern w:val="0"/>
          <w:sz w:val="32"/>
          <w:szCs w:val="32"/>
        </w:rPr>
        <w:t>按照经费来源，</w:t>
      </w:r>
      <w:r>
        <w:rPr>
          <w:rFonts w:hint="eastAsia" w:ascii="仿宋_GB2312" w:hAnsi="Cambria" w:eastAsia="仿宋_GB2312" w:cs="Arial Black"/>
          <w:kern w:val="0"/>
          <w:sz w:val="32"/>
          <w:szCs w:val="32"/>
        </w:rPr>
        <w:t>可分为财政拨款、财政性资金基本保证、财政性资金定额或定项补助、财政性资金零补助四类。</w:t>
      </w: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tabs>
          <w:tab w:val="left" w:pos="235"/>
        </w:tabs>
        <w:spacing w:line="600" w:lineRule="exact"/>
        <w:ind w:firstLine="640" w:firstLineChars="200"/>
        <w:jc w:val="left"/>
        <w:rPr>
          <w:rFonts w:ascii="仿宋_GB2312" w:hAnsi="Cambria" w:eastAsia="仿宋_GB2312" w:cs="Arial Black"/>
          <w:kern w:val="0"/>
          <w:sz w:val="32"/>
          <w:szCs w:val="32"/>
        </w:rPr>
      </w:pPr>
    </w:p>
    <w:p>
      <w:pPr>
        <w:widowControl/>
        <w:spacing w:after="160" w:line="580" w:lineRule="exact"/>
        <w:rPr>
          <w:rFonts w:ascii="Times New Roman" w:hAnsi="Times New Roman" w:eastAsia="黑体" w:cs="Times New Roman"/>
          <w:sz w:val="32"/>
          <w:szCs w:val="32"/>
        </w:rPr>
        <w:sectPr>
          <w:headerReference r:id="rId8" w:type="default"/>
          <w:pgSz w:w="11906" w:h="16838"/>
          <w:pgMar w:top="2098" w:right="1531" w:bottom="1984" w:left="1531" w:header="851" w:footer="992" w:gutter="0"/>
          <w:pgNumType w:fmt="numberInDash"/>
          <w:cols w:space="0" w:num="1"/>
          <w:titlePg/>
          <w:docGrid w:type="lines" w:linePitch="312" w:charSpace="0"/>
        </w:sectPr>
      </w:pPr>
    </w:p>
    <w:p>
      <w:pPr>
        <w:rPr>
          <w:rFonts w:ascii="黑体" w:hAnsi="黑体" w:eastAsia="黑体" w:cs="黑体"/>
          <w:sz w:val="56"/>
          <w:szCs w:val="72"/>
        </w:rPr>
      </w:pPr>
    </w:p>
    <w:p>
      <w:pPr>
        <w:rPr>
          <w:rFonts w:ascii="黑体" w:hAnsi="黑体" w:eastAsia="黑体" w:cs="黑体"/>
          <w:sz w:val="56"/>
          <w:szCs w:val="72"/>
        </w:rPr>
        <w:sectPr>
          <w:type w:val="continuous"/>
          <w:pgSz w:w="11906" w:h="16838"/>
          <w:pgMar w:top="2098" w:right="1531" w:bottom="1984" w:left="1531" w:header="851" w:footer="992" w:gutter="0"/>
          <w:pgNumType w:fmt="numberInDash"/>
          <w:cols w:space="0" w:num="1"/>
          <w:titlePg/>
          <w:docGrid w:type="lines" w:linePitch="312" w:charSpace="0"/>
        </w:sectPr>
      </w:pPr>
      <w:r>
        <w:rPr>
          <w:sz w:val="72"/>
        </w:rPr>
        <mc:AlternateContent>
          <mc:Choice Requires="wps">
            <w:drawing>
              <wp:anchor distT="0" distB="0" distL="114300" distR="114300" simplePos="0" relativeHeight="251663360" behindDoc="0" locked="0" layoutInCell="1" allowOverlap="1">
                <wp:simplePos x="0" y="0"/>
                <wp:positionH relativeFrom="column">
                  <wp:posOffset>-1027430</wp:posOffset>
                </wp:positionH>
                <wp:positionV relativeFrom="paragraph">
                  <wp:posOffset>1151255</wp:posOffset>
                </wp:positionV>
                <wp:extent cx="7793355" cy="3341370"/>
                <wp:effectExtent l="6350" t="6350" r="18415" b="20320"/>
                <wp:wrapNone/>
                <wp:docPr id="1" name="文本框 1"/>
                <wp:cNvGraphicFramePr/>
                <a:graphic xmlns:a="http://schemas.openxmlformats.org/drawingml/2006/main">
                  <a:graphicData uri="http://schemas.microsoft.com/office/word/2010/wordprocessingShape">
                    <wps:wsp>
                      <wps:cNvSpPr txBox="1"/>
                      <wps:spPr>
                        <a:xfrm>
                          <a:off x="0" y="0"/>
                          <a:ext cx="7793355" cy="3341370"/>
                        </a:xfrm>
                        <a:prstGeom prst="rect">
                          <a:avLst/>
                        </a:prstGeom>
                        <a:pattFill prst="pct5">
                          <a:fgClr>
                            <a:sysClr val="window" lastClr="FFFFFF">
                              <a:lumMod val="50000"/>
                            </a:sysClr>
                          </a:fgClr>
                          <a:bgClr>
                            <a:sysClr val="window" lastClr="FFFFFF"/>
                          </a:bgClr>
                        </a:pattFill>
                        <a:ln w="12700" cmpd="sng">
                          <a:solidFill>
                            <a:sysClr val="window" lastClr="FFFFFF">
                              <a:lumMod val="65000"/>
                            </a:sysClr>
                          </a:solidFill>
                          <a:prstDash val="solid"/>
                        </a:ln>
                        <a:effectLst/>
                      </wps:spPr>
                      <wps:txb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80.9pt;margin-top:90.65pt;height:263.1pt;width:613.65pt;z-index:251663360;v-text-anchor:middle;mso-width-relative:page;mso-height-relative:page;" fillcolor="#7F7F7F" filled="t" stroked="t" coordsize="21600,21600" o:gfxdata="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ANhBuPcAAAADQEAAA8AAAAAAAAAAQAgAAAAIgAAAGRycy9kb3du&#10;cmV2LnhtbFBLAQIUABQAAAAIAIdO4kAJY6zCpgIAAKkFAAAOAAAAAAAAAAEAIAAAACsBAABkcnMv&#10;ZTJvRG9jLnhtbFBLBQYAAAAABgAGAFkBAABDBgAAAAA=&#10;">
                <v:fill type="pattern" on="t" color2="#FFFFFF" o:title="5%" focussize="0,0" r:id="rId10"/>
                <v:stroke weight="1pt" color="#A6A6A6" joinstyle="round"/>
                <v:imagedata o:title=""/>
                <o:lock v:ext="edit" aspectratio="f"/>
                <v:textbox>
                  <w:txbxContent>
                    <w:p>
                      <w:pPr>
                        <w:widowControl/>
                        <w:jc w:val="center"/>
                        <w:rPr>
                          <w:rFonts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 xml:space="preserve">第四部分 </w:t>
                      </w:r>
                    </w:p>
                    <w:p>
                      <w:pPr>
                        <w:widowControl/>
                        <w:jc w:val="center"/>
                        <w:rPr>
                          <w14:textOutline w14:w="9525" w14:cap="flat" w14:cmpd="sng" w14:algn="ctr">
                            <w14:solidFill>
                              <w14:schemeClr w14:val="tx1">
                                <w14:lumMod w14:val="50000"/>
                                <w14:lumOff w14:val="50000"/>
                              </w14:schemeClr>
                            </w14:solidFill>
                            <w14:prstDash w14:val="solid"/>
                            <w14:round/>
                          </w14:textOutline>
                        </w:rPr>
                      </w:pPr>
                      <w:r>
                        <w:rPr>
                          <w:rFonts w:hint="eastAsia" w:ascii="黑体" w:hAnsi="黑体" w:eastAsia="黑体" w:cs="黑体"/>
                          <w:color w:val="000000" w:themeColor="text1"/>
                          <w:sz w:val="90"/>
                          <w:szCs w:val="90"/>
                          <w14:shadow w14:blurRad="38100" w14:dist="22860" w14:dir="5400000" w14:sx="100000" w14:sy="100000" w14:kx="0" w14:ky="0" w14:algn="tl">
                            <w14:srgbClr w14:val="000000">
                              <w14:alpha w14:val="70000"/>
                            </w14:srgbClr>
                          </w14:shadow>
                          <w14:textFill>
                            <w14:solidFill>
                              <w14:schemeClr w14:val="tx1"/>
                            </w14:solidFill>
                          </w14:textFill>
                          <w14:props3d w14:extrusionH="0" w14:contourW="0" w14:prstMaterial="clear"/>
                        </w:rPr>
                        <w:t>2020年度部门决算报表</w:t>
                      </w:r>
                    </w:p>
                    <w:p/>
                  </w:txbxContent>
                </v:textbox>
              </v:shape>
            </w:pict>
          </mc:Fallback>
        </mc:AlternateContent>
      </w:r>
    </w:p>
    <w:tbl>
      <w:tblPr>
        <w:tblStyle w:val="6"/>
        <w:tblpPr w:leftFromText="180" w:rightFromText="180" w:vertAnchor="text" w:horzAnchor="page" w:tblpXSpec="center" w:tblpY="31"/>
        <w:tblOverlap w:val="never"/>
        <w:tblW w:w="9434" w:type="dxa"/>
        <w:jc w:val="center"/>
        <w:tblLayout w:type="fixed"/>
        <w:tblCellMar>
          <w:top w:w="0" w:type="dxa"/>
          <w:left w:w="0" w:type="dxa"/>
          <w:bottom w:w="0" w:type="dxa"/>
          <w:right w:w="0" w:type="dxa"/>
        </w:tblCellMar>
      </w:tblPr>
      <w:tblGrid>
        <w:gridCol w:w="3207"/>
        <w:gridCol w:w="620"/>
        <w:gridCol w:w="790"/>
        <w:gridCol w:w="3026"/>
        <w:gridCol w:w="953"/>
        <w:gridCol w:w="838"/>
      </w:tblGrid>
      <w:tr>
        <w:tblPrEx>
          <w:tblCellMar>
            <w:top w:w="0" w:type="dxa"/>
            <w:left w:w="0" w:type="dxa"/>
            <w:bottom w:w="0" w:type="dxa"/>
            <w:right w:w="0" w:type="dxa"/>
          </w:tblCellMar>
        </w:tblPrEx>
        <w:trPr>
          <w:trHeight w:val="499"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收入支出决算总表</w:t>
            </w:r>
          </w:p>
        </w:tc>
      </w:tr>
      <w:tr>
        <w:tblPrEx>
          <w:tblCellMar>
            <w:top w:w="0" w:type="dxa"/>
            <w:left w:w="0" w:type="dxa"/>
            <w:bottom w:w="0" w:type="dxa"/>
            <w:right w:w="0" w:type="dxa"/>
          </w:tblCellMar>
        </w:tblPrEx>
        <w:trPr>
          <w:trHeight w:val="209" w:hRule="atLeast"/>
          <w:jc w:val="center"/>
        </w:trPr>
        <w:tc>
          <w:tcPr>
            <w:tcW w:w="3207"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62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79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7"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公开01表</w:t>
            </w:r>
          </w:p>
        </w:tc>
      </w:tr>
      <w:tr>
        <w:tblPrEx>
          <w:tblCellMar>
            <w:top w:w="0" w:type="dxa"/>
            <w:left w:w="0" w:type="dxa"/>
            <w:bottom w:w="0" w:type="dxa"/>
            <w:right w:w="0" w:type="dxa"/>
          </w:tblCellMar>
        </w:tblPrEx>
        <w:trPr>
          <w:trHeight w:val="430" w:hRule="atLeast"/>
          <w:jc w:val="center"/>
        </w:trPr>
        <w:tc>
          <w:tcPr>
            <w:tcW w:w="3207" w:type="dxa"/>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lef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部门：</w:t>
            </w:r>
          </w:p>
        </w:tc>
        <w:tc>
          <w:tcPr>
            <w:tcW w:w="62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790" w:type="dxa"/>
            <w:tcBorders>
              <w:top w:val="nil"/>
              <w:left w:val="nil"/>
              <w:bottom w:val="nil"/>
              <w:right w:val="nil"/>
            </w:tcBorders>
            <w:shd w:val="clear" w:color="auto" w:fill="auto"/>
            <w:noWrap/>
            <w:tcMar>
              <w:top w:w="15" w:type="dxa"/>
              <w:left w:w="15" w:type="dxa"/>
              <w:right w:w="15" w:type="dxa"/>
            </w:tcMar>
            <w:vAlign w:val="bottom"/>
          </w:tcPr>
          <w:p>
            <w:pPr>
              <w:spacing w:line="240" w:lineRule="exact"/>
              <w:rPr>
                <w:rFonts w:ascii="Arial" w:hAnsi="Arial" w:cs="Arial"/>
                <w:color w:val="000000"/>
                <w:sz w:val="18"/>
                <w:szCs w:val="18"/>
              </w:rPr>
            </w:pPr>
          </w:p>
        </w:tc>
        <w:tc>
          <w:tcPr>
            <w:tcW w:w="4817" w:type="dxa"/>
            <w:gridSpan w:val="3"/>
            <w:tcBorders>
              <w:top w:val="nil"/>
              <w:left w:val="nil"/>
              <w:bottom w:val="nil"/>
              <w:right w:val="nil"/>
            </w:tcBorders>
            <w:shd w:val="clear" w:color="auto" w:fill="auto"/>
            <w:noWrap/>
            <w:tcMar>
              <w:top w:w="15" w:type="dxa"/>
              <w:left w:w="15" w:type="dxa"/>
              <w:right w:w="15" w:type="dxa"/>
            </w:tcMar>
            <w:vAlign w:val="bottom"/>
          </w:tcPr>
          <w:p>
            <w:pPr>
              <w:widowControl/>
              <w:spacing w:line="240" w:lineRule="exact"/>
              <w:jc w:val="right"/>
              <w:textAlignment w:val="bottom"/>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金额单位：万元</w:t>
            </w:r>
          </w:p>
        </w:tc>
      </w:tr>
      <w:tr>
        <w:tblPrEx>
          <w:tblCellMar>
            <w:top w:w="0" w:type="dxa"/>
            <w:left w:w="0" w:type="dxa"/>
            <w:bottom w:w="0" w:type="dxa"/>
            <w:right w:w="0" w:type="dxa"/>
          </w:tblCellMar>
        </w:tblPrEx>
        <w:trPr>
          <w:trHeight w:val="290" w:hRule="atLeast"/>
          <w:jc w:val="center"/>
        </w:trPr>
        <w:tc>
          <w:tcPr>
            <w:tcW w:w="4617"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收入</w:t>
            </w:r>
          </w:p>
        </w:tc>
        <w:tc>
          <w:tcPr>
            <w:tcW w:w="4817" w:type="dxa"/>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黑体" w:hAnsi="黑体" w:eastAsia="黑体" w:cs="宋体"/>
                <w:color w:val="000000"/>
                <w:sz w:val="20"/>
                <w:szCs w:val="20"/>
              </w:rPr>
            </w:pPr>
            <w:r>
              <w:rPr>
                <w:rFonts w:hint="eastAsia" w:ascii="黑体" w:hAnsi="黑体" w:eastAsia="黑体" w:cs="宋体"/>
                <w:color w:val="000000"/>
                <w:kern w:val="0"/>
                <w:sz w:val="20"/>
                <w:szCs w:val="20"/>
                <w:lang w:bidi="ar"/>
              </w:rPr>
              <w:t>支出</w:t>
            </w:r>
          </w:p>
        </w:tc>
      </w:tr>
      <w:tr>
        <w:tblPrEx>
          <w:tblCellMar>
            <w:top w:w="0" w:type="dxa"/>
            <w:left w:w="0" w:type="dxa"/>
            <w:bottom w:w="0" w:type="dxa"/>
            <w:right w:w="0" w:type="dxa"/>
          </w:tblCellMar>
        </w:tblPrEx>
        <w:trPr>
          <w:trHeight w:val="37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项目</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行次</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金额</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栏次</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一、一般公共预算财政拨款收入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center" w:pos="328"/>
                <w:tab w:val="right" w:pos="956"/>
              </w:tabs>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bidi="ar"/>
              </w:rPr>
              <w:tab/>
            </w:r>
            <w:r>
              <w:rPr>
                <w:rFonts w:hint="eastAsia" w:ascii="宋体" w:hAnsi="宋体" w:eastAsia="宋体" w:cs="宋体"/>
                <w:color w:val="000000"/>
                <w:kern w:val="0"/>
                <w:sz w:val="18"/>
                <w:szCs w:val="18"/>
                <w:lang w:eastAsia="zh-CN" w:bidi="ar"/>
              </w:rPr>
              <w:t>28477</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eastAsia="zh-CN" w:bidi="ar"/>
              </w:rPr>
              <w:t>25</w:t>
            </w:r>
            <w:r>
              <w:rPr>
                <w:rFonts w:hint="eastAsia" w:ascii="宋体" w:hAnsi="宋体" w:eastAsia="宋体" w:cs="宋体"/>
                <w:color w:val="000000"/>
                <w:kern w:val="0"/>
                <w:sz w:val="18"/>
                <w:szCs w:val="18"/>
                <w:lang w:eastAsia="zh-CN" w:bidi="ar"/>
              </w:rPr>
              <w:tab/>
            </w: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一、一般公共服务支出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二、政府性基金预算财政拨款收入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二、外交支出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185"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三、上级补助收入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三、国防支出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四、事业收入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四、公共安全支出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五、经营收入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五、教育支出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21577</w:t>
            </w:r>
            <w:r>
              <w:rPr>
                <w:rFonts w:hint="eastAsia" w:ascii="宋体" w:hAnsi="宋体" w:eastAsia="宋体" w:cs="宋体"/>
                <w:color w:val="000000"/>
                <w:kern w:val="0"/>
                <w:sz w:val="18"/>
                <w:szCs w:val="18"/>
                <w:lang w:val="en-US" w:eastAsia="zh-CN" w:bidi="ar"/>
              </w:rPr>
              <w:t>.11</w:t>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六、附属单位上缴收入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六、科学技术支出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七、其他收入</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7</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七、文化旅游体育与传媒支出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8</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八、社会保障和就业支出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9</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九、卫生健康支出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37</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10</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十、节能环保支出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38</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11</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十一、城乡社区支出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39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6417</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86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12</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十二、农林水支出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13</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十三、交通运输支出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14</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十四、资源勘探信息等支出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15</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十五、商业服务业等支出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16</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十六、金融支出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17</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十七、援助其他地区支出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18</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十八、自然资源海洋气象等支出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19</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十九、住房保障支出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47</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20</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二十、粮油物资储备支出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48</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21</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二十一、灾害防治及应急管理支出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49</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22</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二十二、其他支出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50</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23</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二十四、债务付息支出</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51</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本年收入合计</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24</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center" w:pos="380"/>
                <w:tab w:val="right" w:pos="1060"/>
              </w:tabs>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bidi="ar"/>
              </w:rPr>
              <w:tab/>
            </w:r>
            <w:r>
              <w:rPr>
                <w:rFonts w:hint="eastAsia" w:ascii="宋体" w:hAnsi="宋体" w:eastAsia="宋体" w:cs="宋体"/>
                <w:color w:val="000000"/>
                <w:kern w:val="0"/>
                <w:sz w:val="18"/>
                <w:szCs w:val="18"/>
                <w:lang w:eastAsia="zh-CN" w:bidi="ar"/>
              </w:rPr>
              <w:t>28477</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eastAsia="zh-CN" w:bidi="ar"/>
              </w:rPr>
              <w:t>25</w:t>
            </w:r>
            <w:r>
              <w:rPr>
                <w:rFonts w:hint="eastAsia" w:ascii="宋体" w:hAnsi="宋体" w:eastAsia="宋体" w:cs="宋体"/>
                <w:color w:val="000000"/>
                <w:kern w:val="0"/>
                <w:sz w:val="18"/>
                <w:szCs w:val="18"/>
                <w:lang w:eastAsia="zh-CN" w:bidi="ar"/>
              </w:rPr>
              <w:tab/>
            </w: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本年支出合计</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52</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382"/>
                <w:tab w:val="right" w:pos="1108"/>
              </w:tabs>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22218.9</w:t>
            </w:r>
            <w:r>
              <w:rPr>
                <w:rFonts w:hint="eastAsia" w:ascii="宋体" w:hAnsi="宋体" w:eastAsia="宋体" w:cs="宋体"/>
                <w:color w:val="000000"/>
                <w:kern w:val="0"/>
                <w:sz w:val="18"/>
                <w:szCs w:val="18"/>
                <w:lang w:eastAsia="zh-CN" w:bidi="ar"/>
              </w:rPr>
              <w:tab/>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用事业基金弥补收支差额</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25</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结余分配</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53</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年初结转和结余</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26</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551"/>
                <w:tab w:val="right" w:pos="1060"/>
              </w:tabs>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eastAsia="zh-CN" w:bidi="ar"/>
              </w:rPr>
              <w:t>2214</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eastAsia="zh-CN" w:bidi="ar"/>
              </w:rPr>
              <w:t>75</w:t>
            </w:r>
            <w:r>
              <w:rPr>
                <w:rFonts w:hint="eastAsia" w:ascii="宋体" w:hAnsi="宋体" w:eastAsia="宋体" w:cs="宋体"/>
                <w:color w:val="000000"/>
                <w:kern w:val="0"/>
                <w:sz w:val="18"/>
                <w:szCs w:val="18"/>
                <w:lang w:eastAsia="zh-CN" w:bidi="ar"/>
              </w:rPr>
              <w:tab/>
            </w: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年末结转和结余</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54</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316"/>
                <w:tab w:val="right" w:pos="1108"/>
              </w:tabs>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8473.1</w:t>
            </w:r>
            <w:r>
              <w:rPr>
                <w:rFonts w:hint="eastAsia" w:ascii="宋体" w:hAnsi="宋体" w:eastAsia="宋体" w:cs="宋体"/>
                <w:color w:val="000000"/>
                <w:kern w:val="0"/>
                <w:sz w:val="18"/>
                <w:szCs w:val="18"/>
                <w:lang w:eastAsia="zh-CN" w:bidi="ar"/>
              </w:rPr>
              <w:tab/>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27</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righ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55</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320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6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28</w:t>
            </w:r>
          </w:p>
        </w:tc>
        <w:tc>
          <w:tcPr>
            <w:tcW w:w="79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485"/>
                <w:tab w:val="right" w:pos="1060"/>
              </w:tabs>
              <w:jc w:val="left"/>
              <w:textAlignment w:val="center"/>
              <w:rPr>
                <w:rFonts w:hint="default" w:ascii="宋体" w:hAnsi="宋体" w:eastAsia="宋体" w:cs="宋体"/>
                <w:color w:val="000000"/>
                <w:sz w:val="18"/>
                <w:szCs w:val="18"/>
                <w:lang w:val="en-US"/>
              </w:rPr>
            </w:pPr>
            <w:r>
              <w:rPr>
                <w:rFonts w:hint="eastAsia" w:ascii="宋体" w:hAnsi="宋体" w:eastAsia="宋体" w:cs="宋体"/>
                <w:color w:val="000000"/>
                <w:kern w:val="0"/>
                <w:sz w:val="18"/>
                <w:szCs w:val="18"/>
                <w:lang w:val="en-US" w:eastAsia="zh-CN" w:bidi="ar"/>
              </w:rPr>
              <w:t>30692</w:t>
            </w:r>
            <w:r>
              <w:rPr>
                <w:rFonts w:hint="eastAsia" w:ascii="宋体" w:hAnsi="宋体" w:eastAsia="宋体" w:cs="宋体"/>
                <w:color w:val="000000"/>
                <w:kern w:val="0"/>
                <w:sz w:val="18"/>
                <w:szCs w:val="18"/>
                <w:lang w:eastAsia="zh-CN" w:bidi="ar"/>
              </w:rPr>
              <w:tab/>
            </w:r>
            <w:r>
              <w:rPr>
                <w:rFonts w:hint="eastAsia" w:ascii="宋体" w:hAnsi="宋体" w:eastAsia="宋体" w:cs="宋体"/>
                <w:color w:val="000000"/>
                <w:kern w:val="0"/>
                <w:sz w:val="18"/>
                <w:szCs w:val="18"/>
                <w:lang w:val="en-US" w:eastAsia="zh-CN" w:bidi="ar"/>
              </w:rPr>
              <w:t>.00</w:t>
            </w:r>
          </w:p>
        </w:tc>
        <w:tc>
          <w:tcPr>
            <w:tcW w:w="302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kern w:val="0"/>
                <w:sz w:val="18"/>
                <w:szCs w:val="18"/>
                <w:lang w:bidi="ar"/>
              </w:rPr>
              <w:t>总计</w:t>
            </w:r>
          </w:p>
        </w:tc>
        <w:tc>
          <w:tcPr>
            <w:tcW w:w="95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56</w:t>
            </w:r>
          </w:p>
        </w:tc>
        <w:tc>
          <w:tcPr>
            <w:tcW w:w="83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idowControl/>
              <w:tabs>
                <w:tab w:val="left" w:pos="399"/>
                <w:tab w:val="right" w:pos="1108"/>
              </w:tabs>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val="en-US" w:eastAsia="zh-CN" w:bidi="ar"/>
              </w:rPr>
              <w:t>30692.00</w:t>
            </w:r>
            <w:r>
              <w:rPr>
                <w:rFonts w:hint="eastAsia" w:ascii="宋体" w:hAnsi="宋体" w:eastAsia="宋体" w:cs="宋体"/>
                <w:color w:val="000000"/>
                <w:kern w:val="0"/>
                <w:sz w:val="18"/>
                <w:szCs w:val="18"/>
                <w:lang w:eastAsia="zh-CN" w:bidi="ar"/>
              </w:rPr>
              <w:tab/>
            </w:r>
            <w:r>
              <w:rPr>
                <w:rFonts w:hint="eastAsia" w:ascii="宋体" w:hAnsi="宋体" w:eastAsia="宋体" w:cs="宋体"/>
                <w:color w:val="000000"/>
                <w:kern w:val="0"/>
                <w:sz w:val="18"/>
                <w:szCs w:val="18"/>
                <w:lang w:bidi="ar"/>
              </w:rPr>
              <w:t>　</w:t>
            </w:r>
          </w:p>
        </w:tc>
      </w:tr>
      <w:tr>
        <w:tblPrEx>
          <w:tblCellMar>
            <w:top w:w="0" w:type="dxa"/>
            <w:left w:w="0" w:type="dxa"/>
            <w:bottom w:w="0" w:type="dxa"/>
            <w:right w:w="0" w:type="dxa"/>
          </w:tblCellMar>
        </w:tblPrEx>
        <w:trPr>
          <w:trHeight w:val="217" w:hRule="atLeast"/>
          <w:jc w:val="center"/>
        </w:trPr>
        <w:tc>
          <w:tcPr>
            <w:tcW w:w="9434"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kern w:val="0"/>
                <w:sz w:val="18"/>
                <w:szCs w:val="18"/>
                <w:lang w:bidi="ar"/>
              </w:rPr>
            </w:pPr>
            <w:r>
              <w:rPr>
                <w:rFonts w:hint="eastAsia" w:ascii="宋体" w:hAnsi="宋体" w:eastAsia="宋体" w:cs="宋体"/>
                <w:color w:val="000000"/>
                <w:kern w:val="0"/>
                <w:sz w:val="18"/>
                <w:szCs w:val="18"/>
                <w:lang w:bidi="ar"/>
              </w:rPr>
              <w:t>注：本表反映部门本年度的总收支和年末结转结余情况。</w:t>
            </w:r>
          </w:p>
          <w:p>
            <w:pPr>
              <w:widowControl/>
              <w:jc w:val="left"/>
              <w:textAlignment w:val="center"/>
              <w:rPr>
                <w:rFonts w:ascii="宋体" w:hAnsi="宋体" w:eastAsia="宋体" w:cs="宋体"/>
                <w:color w:val="000000"/>
                <w:kern w:val="0"/>
                <w:sz w:val="18"/>
                <w:szCs w:val="18"/>
                <w:lang w:bidi="ar"/>
              </w:rPr>
            </w:pPr>
          </w:p>
        </w:tc>
      </w:tr>
    </w:tbl>
    <w:p>
      <w:pPr>
        <w:widowControl/>
        <w:jc w:val="center"/>
        <w:textAlignment w:val="center"/>
        <w:sectPr>
          <w:pgSz w:w="11906" w:h="16838"/>
          <w:pgMar w:top="720" w:right="720" w:bottom="720" w:left="720" w:header="851" w:footer="992" w:gutter="0"/>
          <w:cols w:space="425" w:num="1"/>
          <w:docGrid w:type="lines" w:linePitch="312" w:charSpace="0"/>
        </w:sectPr>
      </w:pPr>
    </w:p>
    <w:tbl>
      <w:tblPr>
        <w:tblStyle w:val="6"/>
        <w:tblW w:w="5000" w:type="pct"/>
        <w:tblInd w:w="0" w:type="dxa"/>
        <w:shd w:val="clear" w:color="auto" w:fill="auto"/>
        <w:tblLayout w:type="autofit"/>
        <w:tblCellMar>
          <w:top w:w="0" w:type="dxa"/>
          <w:left w:w="0" w:type="dxa"/>
          <w:bottom w:w="0" w:type="dxa"/>
          <w:right w:w="0" w:type="dxa"/>
        </w:tblCellMar>
      </w:tblPr>
      <w:tblGrid>
        <w:gridCol w:w="2630"/>
        <w:gridCol w:w="250"/>
        <w:gridCol w:w="250"/>
        <w:gridCol w:w="2890"/>
        <w:gridCol w:w="1583"/>
        <w:gridCol w:w="1583"/>
        <w:gridCol w:w="537"/>
        <w:gridCol w:w="682"/>
        <w:gridCol w:w="741"/>
        <w:gridCol w:w="736"/>
        <w:gridCol w:w="1386"/>
      </w:tblGrid>
      <w:tr>
        <w:tblPrEx>
          <w:shd w:val="clear" w:color="auto" w:fill="auto"/>
          <w:tblCellMar>
            <w:top w:w="0" w:type="dxa"/>
            <w:left w:w="0" w:type="dxa"/>
            <w:bottom w:w="0" w:type="dxa"/>
            <w:right w:w="0" w:type="dxa"/>
          </w:tblCellMar>
        </w:tblPrEx>
        <w:trPr>
          <w:trHeight w:val="390" w:hRule="atLeast"/>
        </w:trPr>
        <w:tc>
          <w:tcPr>
            <w:tcW w:w="5000" w:type="pct"/>
            <w:gridSpan w:val="11"/>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收入决算批复表</w:t>
            </w:r>
          </w:p>
        </w:tc>
      </w:tr>
      <w:tr>
        <w:tblPrEx>
          <w:shd w:val="clear" w:color="auto" w:fill="auto"/>
          <w:tblCellMar>
            <w:top w:w="0" w:type="dxa"/>
            <w:left w:w="0" w:type="dxa"/>
            <w:bottom w:w="0" w:type="dxa"/>
            <w:right w:w="0" w:type="dxa"/>
          </w:tblCellMar>
        </w:tblPrEx>
        <w:trPr>
          <w:trHeight w:val="255" w:hRule="atLeast"/>
        </w:trPr>
        <w:tc>
          <w:tcPr>
            <w:tcW w:w="891"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7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5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财决批复02表</w:t>
            </w:r>
          </w:p>
        </w:tc>
      </w:tr>
      <w:tr>
        <w:tblPrEx>
          <w:shd w:val="clear" w:color="auto" w:fill="auto"/>
          <w:tblCellMar>
            <w:top w:w="0" w:type="dxa"/>
            <w:left w:w="0" w:type="dxa"/>
            <w:bottom w:w="0" w:type="dxa"/>
            <w:right w:w="0" w:type="dxa"/>
          </w:tblCellMar>
        </w:tblPrEx>
        <w:trPr>
          <w:trHeight w:val="255" w:hRule="atLeast"/>
        </w:trPr>
        <w:tc>
          <w:tcPr>
            <w:tcW w:w="89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部门：承德高新区教育体育局</w:t>
            </w:r>
          </w:p>
        </w:tc>
        <w:tc>
          <w:tcPr>
            <w:tcW w:w="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8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97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7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9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10"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5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1060"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979" w:type="pct"/>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610"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610"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274"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290"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312"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310"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51"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shd w:val="clear" w:color="auto" w:fill="auto"/>
          <w:tblCellMar>
            <w:top w:w="0" w:type="dxa"/>
            <w:left w:w="0" w:type="dxa"/>
            <w:bottom w:w="0" w:type="dxa"/>
            <w:right w:w="0" w:type="dxa"/>
          </w:tblCellMar>
        </w:tblPrEx>
        <w:trPr>
          <w:trHeight w:val="308" w:hRule="atLeast"/>
        </w:trPr>
        <w:tc>
          <w:tcPr>
            <w:tcW w:w="1060"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9"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1060"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9"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20" w:hRule="atLeast"/>
        </w:trPr>
        <w:tc>
          <w:tcPr>
            <w:tcW w:w="1060"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9" w:type="pct"/>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74"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9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2"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1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891"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84"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84"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97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61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74"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9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12"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10"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5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shd w:val="clear" w:color="auto" w:fill="auto"/>
          <w:tblCellMar>
            <w:top w:w="0" w:type="dxa"/>
            <w:left w:w="0" w:type="dxa"/>
            <w:bottom w:w="0" w:type="dxa"/>
            <w:right w:w="0" w:type="dxa"/>
          </w:tblCellMar>
        </w:tblPrEx>
        <w:trPr>
          <w:trHeight w:val="308" w:hRule="atLeast"/>
        </w:trPr>
        <w:tc>
          <w:tcPr>
            <w:tcW w:w="891"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4"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284,772,524.76</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284,772,524.76</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6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284,772,524.76</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284,772,524.76</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6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教育管理事务</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11,384,452.93</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11,384,452.93</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6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2050101</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11,384,452.93</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11,384,452.93</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6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272,447,071.83</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272,447,071.83</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6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2050201</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学前教育</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927,000.00</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927,000.00</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6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2050202</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小学教育</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203,701,817.61</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203,701,817.61</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6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2050203</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初中教育</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29,447,991.60</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29,447,991.60</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6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2050204</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高中教育</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33,940,262.62</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33,940,262.62</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6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4,430,000.00</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4,430,000.00</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6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教育费附加安排的支出</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060"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2050999</w:t>
            </w:r>
          </w:p>
        </w:tc>
        <w:tc>
          <w:tcPr>
            <w:tcW w:w="9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6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2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注：1.本表依据《收入决算表》（财决03表）进行批复。</w:t>
            </w:r>
          </w:p>
        </w:tc>
      </w:tr>
      <w:tr>
        <w:tblPrEx>
          <w:tblCellMar>
            <w:top w:w="0" w:type="dxa"/>
            <w:left w:w="0" w:type="dxa"/>
            <w:bottom w:w="0" w:type="dxa"/>
            <w:right w:w="0" w:type="dxa"/>
          </w:tblCellMar>
        </w:tblPrEx>
        <w:trPr>
          <w:trHeight w:val="308"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2.本表含一般公共预算财政拨款、政府性基金预算财政拨款和国有资本经营预算财政拨款。</w:t>
            </w:r>
          </w:p>
        </w:tc>
      </w:tr>
      <w:tr>
        <w:tblPrEx>
          <w:tblCellMar>
            <w:top w:w="0" w:type="dxa"/>
            <w:left w:w="0" w:type="dxa"/>
            <w:bottom w:w="0" w:type="dxa"/>
            <w:right w:w="0" w:type="dxa"/>
          </w:tblCellMar>
        </w:tblPrEx>
        <w:trPr>
          <w:trHeight w:val="308"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3.本表批复到项级科目。</w:t>
            </w:r>
          </w:p>
        </w:tc>
      </w:tr>
      <w:tr>
        <w:tblPrEx>
          <w:tblCellMar>
            <w:top w:w="0" w:type="dxa"/>
            <w:left w:w="0" w:type="dxa"/>
            <w:bottom w:w="0" w:type="dxa"/>
            <w:right w:w="0" w:type="dxa"/>
          </w:tblCellMar>
        </w:tblPrEx>
        <w:trPr>
          <w:trHeight w:val="308" w:hRule="atLeast"/>
        </w:trPr>
        <w:tc>
          <w:tcPr>
            <w:tcW w:w="5000" w:type="pct"/>
            <w:gridSpan w:val="11"/>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4.本表以“万元”为金额单位（保留两位小数）。</w:t>
            </w:r>
          </w:p>
        </w:tc>
      </w:tr>
    </w:tbl>
    <w:p>
      <w:pPr>
        <w:rPr>
          <w:rFonts w:ascii="黑体" w:hAnsi="黑体" w:eastAsia="黑体" w:cs="黑体"/>
          <w:sz w:val="40"/>
          <w:szCs w:val="40"/>
        </w:rPr>
      </w:pPr>
    </w:p>
    <w:p>
      <w:pPr>
        <w:tabs>
          <w:tab w:val="left" w:pos="235"/>
        </w:tabs>
        <w:spacing w:line="600" w:lineRule="exact"/>
        <w:ind w:firstLine="640" w:firstLineChars="200"/>
        <w:jc w:val="left"/>
        <w:rPr>
          <w:rFonts w:hint="eastAsia" w:ascii="仿宋_GB2312" w:hAnsi="Cambria" w:eastAsia="仿宋_GB2312" w:cs="Arial Black"/>
          <w:kern w:val="0"/>
          <w:sz w:val="32"/>
          <w:szCs w:val="32"/>
        </w:rPr>
      </w:pPr>
    </w:p>
    <w:tbl>
      <w:tblPr>
        <w:tblStyle w:val="6"/>
        <w:tblW w:w="13800" w:type="dxa"/>
        <w:tblInd w:w="0" w:type="dxa"/>
        <w:shd w:val="clear" w:color="auto" w:fill="auto"/>
        <w:tblLayout w:type="autofit"/>
        <w:tblCellMar>
          <w:top w:w="0" w:type="dxa"/>
          <w:left w:w="0" w:type="dxa"/>
          <w:bottom w:w="0" w:type="dxa"/>
          <w:right w:w="0" w:type="dxa"/>
        </w:tblCellMar>
      </w:tblPr>
      <w:tblGrid>
        <w:gridCol w:w="2630"/>
        <w:gridCol w:w="250"/>
        <w:gridCol w:w="250"/>
        <w:gridCol w:w="4210"/>
        <w:gridCol w:w="1583"/>
        <w:gridCol w:w="1583"/>
        <w:gridCol w:w="1472"/>
        <w:gridCol w:w="474"/>
        <w:gridCol w:w="474"/>
        <w:gridCol w:w="1330"/>
      </w:tblGrid>
      <w:tr>
        <w:tblPrEx>
          <w:shd w:val="clear" w:color="auto" w:fill="auto"/>
          <w:tblCellMar>
            <w:top w:w="0" w:type="dxa"/>
            <w:left w:w="0" w:type="dxa"/>
            <w:bottom w:w="0" w:type="dxa"/>
            <w:right w:w="0" w:type="dxa"/>
          </w:tblCellMar>
        </w:tblPrEx>
        <w:trPr>
          <w:trHeight w:val="390" w:hRule="atLeast"/>
        </w:trPr>
        <w:tc>
          <w:tcPr>
            <w:tcW w:w="13800" w:type="dxa"/>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支出决算批复表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财决批复03表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部门：承德高新区教育体育局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vMerge w:val="restar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80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260"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121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1215"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shd w:val="clear" w:color="auto" w:fill="auto"/>
          <w:tblCellMar>
            <w:top w:w="0" w:type="dxa"/>
            <w:left w:w="0" w:type="dxa"/>
            <w:bottom w:w="0" w:type="dxa"/>
            <w:right w:w="0"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12"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0"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5"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8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6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15"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shd w:val="clear" w:color="auto" w:fill="auto"/>
          <w:tblCellMar>
            <w:top w:w="0" w:type="dxa"/>
            <w:left w:w="0" w:type="dxa"/>
            <w:bottom w:w="0" w:type="dxa"/>
            <w:right w:w="0"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222,188,994.18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127,609,285.03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94,579,709.15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215,771,133.23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127,609,285.03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88,161,848.20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教育管理事务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11,439,701.02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5,807,712.53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5,631,988.49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11,439,701.02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5,807,712.53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5,631,988.49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204,331,432.21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121,801,572.50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82,529,859.71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2050201</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学前教育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278,900.00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278,900.00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小学教育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139,172,908.64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64,738,424.40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74,434,484.24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2050203</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初中教育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28,428,725.02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25,908,370.40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2,520,354.62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2050204</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高中教育</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34,318,308.15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29,100,687.30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5,217,620.85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2,132,590.40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2,054,090.40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78,500.00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注：1.本表依据《支出决算表》（财决04表）进行批复。</w:t>
            </w:r>
          </w:p>
        </w:tc>
      </w:tr>
      <w:tr>
        <w:tblPrEx>
          <w:shd w:val="clear" w:color="auto" w:fill="auto"/>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2.本表含一般公共预算财政拨款、政府性基金预算财政拨款和国有资本经营预算财政拨款。</w:t>
            </w:r>
          </w:p>
        </w:tc>
      </w:tr>
      <w:tr>
        <w:tblPrEx>
          <w:shd w:val="clear" w:color="auto" w:fill="auto"/>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3.本表批复到项级科目。</w:t>
            </w:r>
          </w:p>
        </w:tc>
      </w:tr>
      <w:tr>
        <w:tblPrEx>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4.本表以“万元”为金额单位（保留两位小数）。</w:t>
            </w:r>
          </w:p>
        </w:tc>
      </w:tr>
    </w:tbl>
    <w:p>
      <w:pPr>
        <w:pStyle w:val="2"/>
        <w:rPr>
          <w:rFonts w:hint="eastAsia"/>
        </w:rPr>
        <w:sectPr>
          <w:pgSz w:w="16838" w:h="11906" w:orient="landscape"/>
          <w:pgMar w:top="0" w:right="1800" w:bottom="1440" w:left="1800" w:header="851" w:footer="992" w:gutter="0"/>
          <w:cols w:space="0" w:num="1"/>
          <w:rtlGutter w:val="0"/>
          <w:docGrid w:type="lines" w:linePitch="312" w:charSpace="0"/>
        </w:sectPr>
      </w:pPr>
    </w:p>
    <w:tbl>
      <w:tblPr>
        <w:tblStyle w:val="6"/>
        <w:tblW w:w="5000" w:type="pct"/>
        <w:tblInd w:w="0" w:type="dxa"/>
        <w:shd w:val="clear" w:color="auto" w:fill="auto"/>
        <w:tblLayout w:type="autofit"/>
        <w:tblCellMar>
          <w:top w:w="0" w:type="dxa"/>
          <w:left w:w="0" w:type="dxa"/>
          <w:bottom w:w="0" w:type="dxa"/>
          <w:right w:w="0" w:type="dxa"/>
        </w:tblCellMar>
      </w:tblPr>
      <w:tblGrid>
        <w:gridCol w:w="3142"/>
        <w:gridCol w:w="518"/>
        <w:gridCol w:w="1763"/>
        <w:gridCol w:w="3981"/>
        <w:gridCol w:w="474"/>
        <w:gridCol w:w="1707"/>
        <w:gridCol w:w="1827"/>
        <w:gridCol w:w="1827"/>
        <w:gridCol w:w="1459"/>
      </w:tblGrid>
      <w:tr>
        <w:tblPrEx>
          <w:shd w:val="clear" w:color="auto" w:fill="auto"/>
          <w:tblCellMar>
            <w:top w:w="0" w:type="dxa"/>
            <w:left w:w="0" w:type="dxa"/>
            <w:bottom w:w="0" w:type="dxa"/>
            <w:right w:w="0" w:type="dxa"/>
          </w:tblCellMar>
        </w:tblPrEx>
        <w:trPr>
          <w:trHeight w:val="3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财政拨款收入支出决算批复表</w:t>
            </w:r>
          </w:p>
        </w:tc>
      </w:tr>
      <w:tr>
        <w:tblPrEx>
          <w:shd w:val="clear" w:color="auto" w:fill="auto"/>
          <w:tblCellMar>
            <w:top w:w="0" w:type="dxa"/>
            <w:left w:w="0" w:type="dxa"/>
            <w:bottom w:w="0" w:type="dxa"/>
            <w:right w:w="0" w:type="dxa"/>
          </w:tblCellMar>
        </w:tblPrEx>
        <w:trPr>
          <w:trHeight w:val="255" w:hRule="atLeast"/>
        </w:trPr>
        <w:tc>
          <w:tcPr>
            <w:tcW w:w="941"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1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财决批复04表</w:t>
            </w:r>
          </w:p>
        </w:tc>
      </w:tr>
      <w:tr>
        <w:tblPrEx>
          <w:shd w:val="clear" w:color="auto" w:fill="auto"/>
          <w:tblCellMar>
            <w:top w:w="0" w:type="dxa"/>
            <w:left w:w="0" w:type="dxa"/>
            <w:bottom w:w="0" w:type="dxa"/>
            <w:right w:w="0" w:type="dxa"/>
          </w:tblCellMar>
        </w:tblPrEx>
        <w:trPr>
          <w:trHeight w:val="255" w:hRule="atLeast"/>
        </w:trPr>
        <w:tc>
          <w:tcPr>
            <w:tcW w:w="941"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部门：承德高新区教育体育局</w:t>
            </w:r>
          </w:p>
        </w:tc>
        <w:tc>
          <w:tcPr>
            <w:tcW w:w="1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2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19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142"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4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43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1624"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3375"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shd w:val="clear" w:color="auto" w:fill="auto"/>
          <w:tblCellMar>
            <w:top w:w="0" w:type="dxa"/>
            <w:left w:w="0" w:type="dxa"/>
            <w:bottom w:w="0" w:type="dxa"/>
            <w:right w:w="0" w:type="dxa"/>
          </w:tblCellMar>
        </w:tblPrEx>
        <w:trPr>
          <w:trHeight w:val="292" w:hRule="atLeast"/>
        </w:trPr>
        <w:tc>
          <w:tcPr>
            <w:tcW w:w="94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52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1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4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511" w:type="pct"/>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54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4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615" w:hRule="atLeast"/>
        </w:trPr>
        <w:tc>
          <w:tcPr>
            <w:tcW w:w="94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1" w:type="pct"/>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4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2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11"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4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43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284,772,524.76</w:t>
            </w: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三、国有资本经营财政拨款</w:t>
            </w: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215,771,133.23</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215,771,133.23</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284,772,524.76</w:t>
            </w: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222,188,994.18</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215,771,133.23</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22,147,509.38</w:t>
            </w: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84,731,039.96</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84,526,737.47</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204,302.49</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15,525,345.94</w:t>
            </w: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6,622,163.44</w:t>
            </w: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15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941"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5" w:type="pct"/>
            <w:tcBorders>
              <w:top w:val="nil"/>
              <w:left w:val="nil"/>
              <w:bottom w:val="single" w:color="000000" w:sz="8"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306,920,034.14</w:t>
            </w:r>
          </w:p>
        </w:tc>
        <w:tc>
          <w:tcPr>
            <w:tcW w:w="119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4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5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306,920,034.14</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300,297,870.70</w:t>
            </w:r>
          </w:p>
        </w:tc>
        <w:tc>
          <w:tcPr>
            <w:tcW w:w="54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6,622,163.44</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bl>
    <w:p>
      <w:pPr>
        <w:tabs>
          <w:tab w:val="left" w:pos="235"/>
        </w:tabs>
        <w:spacing w:line="600" w:lineRule="exact"/>
        <w:jc w:val="left"/>
        <w:rPr>
          <w:rFonts w:ascii="仿宋_GB2312" w:hAnsi="Cambria" w:eastAsia="仿宋_GB2312" w:cs="Arial Black"/>
          <w:kern w:val="0"/>
          <w:sz w:val="20"/>
          <w:szCs w:val="20"/>
        </w:rPr>
      </w:pPr>
    </w:p>
    <w:p>
      <w:pPr>
        <w:pStyle w:val="2"/>
        <w:rPr>
          <w:rFonts w:ascii="仿宋_GB2312" w:hAnsi="Cambria" w:eastAsia="仿宋_GB2312" w:cs="Arial Black"/>
          <w:kern w:val="0"/>
          <w:sz w:val="20"/>
          <w:szCs w:val="20"/>
        </w:rPr>
      </w:pPr>
    </w:p>
    <w:p>
      <w:pPr>
        <w:rPr>
          <w:rFonts w:ascii="仿宋_GB2312" w:hAnsi="Cambria" w:eastAsia="仿宋_GB2312" w:cs="Arial Black"/>
          <w:kern w:val="0"/>
          <w:sz w:val="20"/>
          <w:szCs w:val="20"/>
        </w:rPr>
      </w:pPr>
    </w:p>
    <w:p>
      <w:pPr>
        <w:pStyle w:val="2"/>
        <w:rPr>
          <w:rFonts w:ascii="仿宋_GB2312" w:hAnsi="Cambria" w:eastAsia="仿宋_GB2312" w:cs="Arial Black"/>
          <w:kern w:val="0"/>
          <w:sz w:val="20"/>
          <w:szCs w:val="20"/>
        </w:rPr>
      </w:pPr>
    </w:p>
    <w:tbl>
      <w:tblPr>
        <w:tblStyle w:val="6"/>
        <w:tblW w:w="5000" w:type="pct"/>
        <w:tblInd w:w="0" w:type="dxa"/>
        <w:shd w:val="clear" w:color="auto" w:fill="auto"/>
        <w:tblLayout w:type="autofit"/>
        <w:tblCellMar>
          <w:top w:w="0" w:type="dxa"/>
          <w:left w:w="0" w:type="dxa"/>
          <w:bottom w:w="0" w:type="dxa"/>
          <w:right w:w="0" w:type="dxa"/>
        </w:tblCellMar>
      </w:tblPr>
      <w:tblGrid>
        <w:gridCol w:w="204"/>
        <w:gridCol w:w="204"/>
        <w:gridCol w:w="210"/>
        <w:gridCol w:w="2157"/>
        <w:gridCol w:w="1103"/>
        <w:gridCol w:w="1103"/>
        <w:gridCol w:w="1020"/>
        <w:gridCol w:w="1185"/>
        <w:gridCol w:w="1185"/>
        <w:gridCol w:w="1185"/>
        <w:gridCol w:w="1185"/>
        <w:gridCol w:w="1185"/>
        <w:gridCol w:w="1103"/>
        <w:gridCol w:w="1103"/>
        <w:gridCol w:w="1103"/>
        <w:gridCol w:w="1103"/>
        <w:gridCol w:w="360"/>
      </w:tblGrid>
      <w:tr>
        <w:tblPrEx>
          <w:shd w:val="clear" w:color="auto" w:fill="auto"/>
          <w:tblCellMar>
            <w:top w:w="0" w:type="dxa"/>
            <w:left w:w="0" w:type="dxa"/>
            <w:bottom w:w="0" w:type="dxa"/>
            <w:right w:w="0" w:type="dxa"/>
          </w:tblCellMar>
        </w:tblPrEx>
        <w:trPr>
          <w:trHeight w:val="255" w:hRule="atLeast"/>
        </w:trPr>
        <w:tc>
          <w:tcPr>
            <w:tcW w:w="5000" w:type="pct"/>
            <w:gridSpan w:val="17"/>
            <w:vMerge w:val="restar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一般公共预算财政拨款收入支出决算批复表</w:t>
            </w:r>
          </w:p>
        </w:tc>
      </w:tr>
      <w:tr>
        <w:tblPrEx>
          <w:shd w:val="clear" w:color="auto" w:fill="auto"/>
          <w:tblCellMar>
            <w:top w:w="0" w:type="dxa"/>
            <w:left w:w="0" w:type="dxa"/>
            <w:bottom w:w="0" w:type="dxa"/>
            <w:right w:w="0" w:type="dxa"/>
          </w:tblCellMar>
        </w:tblPrEx>
        <w:trPr>
          <w:trHeight w:val="120" w:hRule="atLeast"/>
        </w:trPr>
        <w:tc>
          <w:tcPr>
            <w:tcW w:w="5000" w:type="pct"/>
            <w:gridSpan w:val="17"/>
            <w:vMerge w:val="continue"/>
            <w:tcBorders>
              <w:top w:val="nil"/>
              <w:left w:val="nil"/>
              <w:bottom w:val="nil"/>
              <w:right w:val="nil"/>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30"/>
                <w:szCs w:val="30"/>
                <w:u w:val="none"/>
              </w:rPr>
            </w:pPr>
          </w:p>
        </w:tc>
      </w:tr>
      <w:tr>
        <w:tblPrEx>
          <w:shd w:val="clear" w:color="auto" w:fill="auto"/>
          <w:tblCellMar>
            <w:top w:w="0" w:type="dxa"/>
            <w:left w:w="0" w:type="dxa"/>
            <w:bottom w:w="0" w:type="dxa"/>
            <w:right w:w="0" w:type="dxa"/>
          </w:tblCellMar>
        </w:tblPrEx>
        <w:trPr>
          <w:trHeight w:val="308" w:hRule="atLeast"/>
        </w:trPr>
        <w:tc>
          <w:tcPr>
            <w:tcW w:w="194"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567"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989"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03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989"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223" w:type="pct"/>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trPr>
        <w:tc>
          <w:tcPr>
            <w:tcW w:w="19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3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c>
          <w:tcPr>
            <w:tcW w:w="3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5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5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3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3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564" w:type="pct"/>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r>
      <w:tr>
        <w:tblPrEx>
          <w:shd w:val="clear" w:color="auto" w:fill="auto"/>
          <w:tblCellMar>
            <w:top w:w="0" w:type="dxa"/>
            <w:left w:w="0" w:type="dxa"/>
            <w:bottom w:w="0" w:type="dxa"/>
            <w:right w:w="0" w:type="dxa"/>
          </w:tblCellMar>
        </w:tblPrEx>
        <w:trPr>
          <w:trHeight w:val="277" w:hRule="atLeast"/>
        </w:trPr>
        <w:tc>
          <w:tcPr>
            <w:tcW w:w="19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w:t>
            </w:r>
          </w:p>
        </w:tc>
        <w:tc>
          <w:tcPr>
            <w:tcW w:w="2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项目支出结余</w:t>
            </w:r>
          </w:p>
        </w:tc>
      </w:tr>
      <w:tr>
        <w:tblPrEx>
          <w:shd w:val="clear" w:color="auto" w:fill="auto"/>
          <w:tblCellMar>
            <w:top w:w="0" w:type="dxa"/>
            <w:left w:w="0" w:type="dxa"/>
            <w:bottom w:w="0" w:type="dxa"/>
            <w:right w:w="0" w:type="dxa"/>
          </w:tblCellMar>
        </w:tblPrEx>
        <w:trPr>
          <w:trHeight w:val="40" w:hRule="atLeast"/>
        </w:trPr>
        <w:tc>
          <w:tcPr>
            <w:tcW w:w="194"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5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6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6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6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56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5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5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2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3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r>
      <w:tr>
        <w:tblPrEx>
          <w:shd w:val="clear" w:color="auto" w:fill="auto"/>
          <w:tblCellMar>
            <w:top w:w="0" w:type="dxa"/>
            <w:left w:w="0" w:type="dxa"/>
            <w:bottom w:w="0" w:type="dxa"/>
            <w:right w:w="0" w:type="dxa"/>
          </w:tblCellMar>
        </w:tblPrEx>
        <w:trPr>
          <w:trHeight w:val="308" w:hRule="atLeast"/>
        </w:trPr>
        <w:tc>
          <w:tcPr>
            <w:tcW w:w="6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67"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15,525,345.94</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12,586,992.45</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2,938,353.49</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284,772,524.76</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130,508,172.45</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154,264,352.31</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215,771,133.23</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127,609,285.03</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88,161,848.20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84,526,737.47</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15,485,879.87</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69,040,857.60</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教育支出</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15,525,345.94</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12,586,992.45</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2,938,353.49</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284,772,524.76</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130,508,172.45</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154,264,352.31</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215,771,133.23</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127,609,285.03</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88,161,848.20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84,526,737.47</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15,485,879.87</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69,040,857.60</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教育管理事务</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1,508,008.42</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710,106.12</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797,902.30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11,384,452.93</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5,814,543.12</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5,569,909.81</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11,439,701.02</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5,807,712.53</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5,631,988.49</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1,452,760.33</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716,936.71</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735,823.62</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2050101</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1,508,008.42</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710,106.12</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797,902.30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11,384,452.93</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5,814,543.12</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5,569,909.81</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11,439,701.02</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5,807,712.53</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5,631,988.49</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1,452,760.33</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716,936.71</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735,823.62</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普通教育</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14,017,337.52</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11,876,886.33</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2,140,451.19</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272,447,071.83</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123,752,629.33</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148,694,442.50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204,331,432.21</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121,801,572.50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82,529,859.71</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82,132,977.14</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13,827,943.16</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68,305,033.98</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2050201</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学前教育</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151,186.00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151,186.00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927,000.00</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927,000.00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278,900.00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278,900.00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799,286.00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799,286.00</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2050202</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小学教育</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11,079,144.30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11,055,887.57</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23,256.73</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203,701,817.61</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64,496,135.11</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139,205,682.50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139,172,908.64</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64,738,424.40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74,434,484.24</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75,608,053.27</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10,813,598.28</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64,794,454.99</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2050203</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初中教育</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1,716,071.48</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292,348.76</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1,423,722.72</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29,447,991.60</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26,314,511.60</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3,133,480.00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28,428,725.02</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25,908,370.40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2,520,354.62</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2,735,338.06</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698,489.96</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2,036,848.10</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2050204</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高中教育</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1,070,935.74</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528,650.00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542,285.74</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33,940,262.62</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28,660,482.62</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5,279,780.00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34,318,308.15</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29,100,687.30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5,217,620.85</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692,890.21</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88,445.32</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604,444.89</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2050299</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其他普通教育支出</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4,430,000.00</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4,281,500.00</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148,500.00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2,132,590.40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2,054,090.40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78,500.00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2,297,409.60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2,227,409.60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70,000.00</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教育费附加安排的支出</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194"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2050999</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其他教育费附加安排的支出</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3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941,000.00</w:t>
            </w:r>
          </w:p>
        </w:tc>
        <w:tc>
          <w:tcPr>
            <w:tcW w:w="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000" w:type="pct"/>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注：1.本表依据《一般公共预算财政拨款收入支出决算表》（财决07表）进行批复。</w:t>
            </w:r>
          </w:p>
        </w:tc>
      </w:tr>
      <w:tr>
        <w:tblPrEx>
          <w:tblCellMar>
            <w:top w:w="0" w:type="dxa"/>
            <w:left w:w="0" w:type="dxa"/>
            <w:bottom w:w="0" w:type="dxa"/>
            <w:right w:w="0" w:type="dxa"/>
          </w:tblCellMar>
        </w:tblPrEx>
        <w:trPr>
          <w:trHeight w:val="308" w:hRule="atLeast"/>
        </w:trPr>
        <w:tc>
          <w:tcPr>
            <w:tcW w:w="5000" w:type="pct"/>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2.本表批复到项级科目。</w:t>
            </w:r>
          </w:p>
        </w:tc>
      </w:tr>
      <w:tr>
        <w:tblPrEx>
          <w:tblCellMar>
            <w:top w:w="0" w:type="dxa"/>
            <w:left w:w="0" w:type="dxa"/>
            <w:bottom w:w="0" w:type="dxa"/>
            <w:right w:w="0" w:type="dxa"/>
          </w:tblCellMar>
        </w:tblPrEx>
        <w:trPr>
          <w:trHeight w:val="308" w:hRule="atLeast"/>
        </w:trPr>
        <w:tc>
          <w:tcPr>
            <w:tcW w:w="5000" w:type="pct"/>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3.本表以“万元”为金额单位（保留两位小数）。</w:t>
            </w:r>
          </w:p>
        </w:tc>
      </w:tr>
      <w:tr>
        <w:tblPrEx>
          <w:tblCellMar>
            <w:top w:w="0" w:type="dxa"/>
            <w:left w:w="0" w:type="dxa"/>
            <w:bottom w:w="0" w:type="dxa"/>
            <w:right w:w="0" w:type="dxa"/>
          </w:tblCellMar>
        </w:tblPrEx>
        <w:trPr>
          <w:trHeight w:val="255" w:hRule="atLeast"/>
        </w:trPr>
        <w:tc>
          <w:tcPr>
            <w:tcW w:w="64"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6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6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67"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5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29"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3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bl>
    <w:p/>
    <w:p>
      <w:pPr>
        <w:pStyle w:val="2"/>
      </w:pPr>
    </w:p>
    <w:tbl>
      <w:tblPr>
        <w:tblStyle w:val="6"/>
        <w:tblW w:w="0" w:type="auto"/>
        <w:tblInd w:w="0" w:type="dxa"/>
        <w:shd w:val="clear" w:color="auto" w:fill="auto"/>
        <w:tblLayout w:type="autofit"/>
        <w:tblCellMar>
          <w:top w:w="0" w:type="dxa"/>
          <w:left w:w="0" w:type="dxa"/>
          <w:bottom w:w="0" w:type="dxa"/>
          <w:right w:w="0" w:type="dxa"/>
        </w:tblCellMar>
      </w:tblPr>
      <w:tblGrid>
        <w:gridCol w:w="2025"/>
        <w:gridCol w:w="2562"/>
        <w:gridCol w:w="1212"/>
        <w:gridCol w:w="452"/>
        <w:gridCol w:w="4404"/>
        <w:gridCol w:w="1127"/>
        <w:gridCol w:w="452"/>
        <w:gridCol w:w="3237"/>
        <w:gridCol w:w="1227"/>
      </w:tblGrid>
      <w:tr>
        <w:tblPrEx>
          <w:shd w:val="clear" w:color="auto" w:fill="auto"/>
          <w:tblCellMar>
            <w:top w:w="0" w:type="dxa"/>
            <w:left w:w="0" w:type="dxa"/>
            <w:bottom w:w="0" w:type="dxa"/>
            <w:right w:w="0" w:type="dxa"/>
          </w:tblCellMar>
        </w:tblPrEx>
        <w:trPr>
          <w:trHeight w:val="39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一般公共预算财政拨款基本支出决算批复表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财决批复06表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部门：承德高新区教育体育局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shd w:val="clear" w:color="auto" w:fill="auto"/>
          <w:tblCellMar>
            <w:top w:w="0" w:type="dxa"/>
            <w:left w:w="0" w:type="dxa"/>
            <w:bottom w:w="0" w:type="dxa"/>
            <w:right w:w="0"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109,017,415.93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10,512,833.57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32,663,165.24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2,967,151.11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10,482,166.89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682,010.80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5,351,033.65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1,768,511.10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7,249.88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26,690,711.27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223,231.25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1,149,513.93</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9,397,563.00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632,874.61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112,619.00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404,747.69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265,868.61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4,714,368.87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8,103.03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690,261.36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443,902.93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222,560.05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7,115,035.42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474,832.20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2,119,543.85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10,589,627.41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43,300.00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6,310,524.43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11,366.00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231,771.21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33,991.00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4,978,805.39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167,051.29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136,212.00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141,540.00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506,378.17</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356,899.46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403,695.83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285,780.55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1,256,922.28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37,500.00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699,167.40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246,917.45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258,244.95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115,327,940.36</w:t>
            </w:r>
          </w:p>
        </w:tc>
        <w:tc>
          <w:tcPr>
            <w:tcW w:w="0" w:type="auto"/>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12,281,344.67</w:t>
            </w:r>
          </w:p>
        </w:tc>
      </w:tr>
      <w:tr>
        <w:tblPrEx>
          <w:tblCellMar>
            <w:top w:w="0" w:type="dxa"/>
            <w:left w:w="0" w:type="dxa"/>
            <w:bottom w:w="0" w:type="dxa"/>
            <w:right w:w="0" w:type="dxa"/>
          </w:tblCellMar>
        </w:tblPrEx>
        <w:trPr>
          <w:trHeight w:val="308"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注：1.本表依据《一般公共预算财政拨款基本支出决算明细表》（财决08-1表）进行批复。</w:t>
            </w:r>
          </w:p>
        </w:tc>
      </w:tr>
      <w:tr>
        <w:tblPrEx>
          <w:tblCellMar>
            <w:top w:w="0" w:type="dxa"/>
            <w:left w:w="0" w:type="dxa"/>
            <w:bottom w:w="0" w:type="dxa"/>
            <w:right w:w="0" w:type="dxa"/>
          </w:tblCellMar>
        </w:tblPrEx>
        <w:trPr>
          <w:trHeight w:val="308" w:hRule="atLeast"/>
        </w:trPr>
        <w:tc>
          <w:tcPr>
            <w:tcW w:w="0" w:type="auto"/>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2.本表以“万元”为金额单位（保留两位小数）。</w:t>
            </w:r>
          </w:p>
        </w:tc>
      </w:tr>
    </w:tbl>
    <w:p/>
    <w:p>
      <w:pPr>
        <w:pStyle w:val="2"/>
      </w:pPr>
    </w:p>
    <w:p/>
    <w:p/>
    <w:p>
      <w:pPr>
        <w:pStyle w:val="2"/>
      </w:pPr>
    </w:p>
    <w:tbl>
      <w:tblPr>
        <w:tblStyle w:val="6"/>
        <w:tblW w:w="4998" w:type="pct"/>
        <w:tblInd w:w="0" w:type="dxa"/>
        <w:shd w:val="clear" w:color="auto" w:fill="auto"/>
        <w:tblLayout w:type="autofit"/>
        <w:tblCellMar>
          <w:top w:w="0" w:type="dxa"/>
          <w:left w:w="0" w:type="dxa"/>
          <w:bottom w:w="0" w:type="dxa"/>
          <w:right w:w="0" w:type="dxa"/>
        </w:tblCellMar>
      </w:tblPr>
      <w:tblGrid>
        <w:gridCol w:w="1763"/>
        <w:gridCol w:w="177"/>
        <w:gridCol w:w="177"/>
        <w:gridCol w:w="2817"/>
        <w:gridCol w:w="917"/>
        <w:gridCol w:w="326"/>
        <w:gridCol w:w="917"/>
        <w:gridCol w:w="326"/>
        <w:gridCol w:w="326"/>
        <w:gridCol w:w="4030"/>
        <w:gridCol w:w="917"/>
        <w:gridCol w:w="326"/>
        <w:gridCol w:w="917"/>
        <w:gridCol w:w="769"/>
        <w:gridCol w:w="326"/>
        <w:gridCol w:w="769"/>
        <w:gridCol w:w="898"/>
      </w:tblGrid>
      <w:tr>
        <w:tblPrEx>
          <w:shd w:val="clear" w:color="auto" w:fill="auto"/>
          <w:tblCellMar>
            <w:top w:w="0" w:type="dxa"/>
            <w:left w:w="0" w:type="dxa"/>
            <w:bottom w:w="0" w:type="dxa"/>
            <w:right w:w="0" w:type="dxa"/>
          </w:tblCellMar>
        </w:tblPrEx>
        <w:trPr>
          <w:trHeight w:val="390" w:hRule="atLeast"/>
        </w:trPr>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政府性基金预算财政拨款收入支出决算批复表</w:t>
            </w: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财决批复07表</w:t>
            </w:r>
          </w:p>
        </w:tc>
      </w:tr>
      <w:tr>
        <w:tblPrEx>
          <w:shd w:val="clear" w:color="auto" w:fill="auto"/>
          <w:tblCellMar>
            <w:top w:w="0" w:type="dxa"/>
            <w:left w:w="0" w:type="dxa"/>
            <w:bottom w:w="0" w:type="dxa"/>
            <w:right w:w="0" w:type="dxa"/>
          </w:tblCellMar>
        </w:tblPrEx>
        <w:trPr>
          <w:trHeight w:val="255" w:hRule="atLeast"/>
        </w:trPr>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部门：承德高新区教育体育局</w:t>
            </w:r>
          </w:p>
        </w:tc>
        <w:tc>
          <w:tcPr>
            <w:tcW w:w="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55"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711"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304"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283" w:type="pct"/>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555" w:type="pct"/>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711"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85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89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85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135" w:type="pct"/>
            <w:gridSpan w:val="4"/>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08" w:hRule="atLeast"/>
        </w:trPr>
        <w:tc>
          <w:tcPr>
            <w:tcW w:w="555"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2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c>
          <w:tcPr>
            <w:tcW w:w="2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30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30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2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2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基本支出结转</w:t>
            </w:r>
          </w:p>
        </w:tc>
        <w:tc>
          <w:tcPr>
            <w:tcW w:w="567" w:type="pct"/>
            <w:gridSpan w:val="2"/>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项目支出结转和结余</w:t>
            </w:r>
          </w:p>
        </w:tc>
      </w:tr>
      <w:tr>
        <w:tblPrEx>
          <w:shd w:val="clear" w:color="auto" w:fill="auto"/>
          <w:tblCellMar>
            <w:top w:w="0" w:type="dxa"/>
            <w:left w:w="0" w:type="dxa"/>
            <w:bottom w:w="0" w:type="dxa"/>
            <w:right w:w="0" w:type="dxa"/>
          </w:tblCellMar>
        </w:tblPrEx>
        <w:trPr>
          <w:trHeight w:val="308" w:hRule="atLeast"/>
        </w:trPr>
        <w:tc>
          <w:tcPr>
            <w:tcW w:w="555"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项目支出结转</w:t>
            </w:r>
          </w:p>
        </w:tc>
        <w:tc>
          <w:tcPr>
            <w:tcW w:w="2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项目支出结余</w:t>
            </w:r>
          </w:p>
        </w:tc>
      </w:tr>
      <w:tr>
        <w:tblPrEx>
          <w:shd w:val="clear" w:color="auto" w:fill="auto"/>
          <w:tblCellMar>
            <w:top w:w="0" w:type="dxa"/>
            <w:left w:w="0" w:type="dxa"/>
            <w:bottom w:w="0" w:type="dxa"/>
            <w:right w:w="0" w:type="dxa"/>
          </w:tblCellMar>
        </w:tblPrEx>
        <w:trPr>
          <w:trHeight w:val="615" w:hRule="atLeast"/>
        </w:trPr>
        <w:tc>
          <w:tcPr>
            <w:tcW w:w="555" w:type="pct"/>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1"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30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8" w:hRule="atLeast"/>
        </w:trPr>
        <w:tc>
          <w:tcPr>
            <w:tcW w:w="44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71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2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0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0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83"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r>
      <w:tr>
        <w:tblPrEx>
          <w:shd w:val="clear" w:color="auto" w:fill="auto"/>
          <w:tblCellMar>
            <w:top w:w="0" w:type="dxa"/>
            <w:left w:w="0" w:type="dxa"/>
            <w:bottom w:w="0" w:type="dxa"/>
            <w:right w:w="0" w:type="dxa"/>
          </w:tblCellMar>
        </w:tblPrEx>
        <w:trPr>
          <w:trHeight w:val="308" w:hRule="atLeast"/>
        </w:trPr>
        <w:tc>
          <w:tcPr>
            <w:tcW w:w="44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1" w:type="pc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6,622,163.44</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6,622,163.44</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6,417,860.95</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6,417,860.95</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204,302.49</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204,302.49</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7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6,622,163.44</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6,622,163.44</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204,302.49</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204,302.49</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w:t>
            </w:r>
          </w:p>
        </w:tc>
        <w:tc>
          <w:tcPr>
            <w:tcW w:w="7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国有土地使用权出让收入安排的支出</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6,622,163.44</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6,622,163.44</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204,302.49</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204,302.49</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shd w:val="clear" w:color="auto" w:fill="auto"/>
          <w:tblCellMar>
            <w:top w:w="0" w:type="dxa"/>
            <w:left w:w="0" w:type="dxa"/>
            <w:bottom w:w="0" w:type="dxa"/>
            <w:right w:w="0" w:type="dxa"/>
          </w:tblCellMar>
        </w:tblPrEx>
        <w:trPr>
          <w:trHeight w:val="308" w:hRule="atLeast"/>
        </w:trPr>
        <w:tc>
          <w:tcPr>
            <w:tcW w:w="5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2120899</w:t>
            </w:r>
          </w:p>
        </w:tc>
        <w:tc>
          <w:tcPr>
            <w:tcW w:w="7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其他国有土地使用权出让收入安排的支出</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6,622,163.44</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6,622,163.44</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6,417,860.95</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204,302.49</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204,302.49</w:t>
            </w: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308" w:hRule="atLeast"/>
        </w:trPr>
        <w:tc>
          <w:tcPr>
            <w:tcW w:w="5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55" w:type="pct"/>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71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8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5000" w:type="pct"/>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注：1.本表依据《政府性基金预算财政拨款收入支出决算表》（财决09表）进行批复。</w:t>
            </w:r>
          </w:p>
        </w:tc>
      </w:tr>
      <w:tr>
        <w:tblPrEx>
          <w:tblCellMar>
            <w:top w:w="0" w:type="dxa"/>
            <w:left w:w="0" w:type="dxa"/>
            <w:bottom w:w="0" w:type="dxa"/>
            <w:right w:w="0" w:type="dxa"/>
          </w:tblCellMar>
        </w:tblPrEx>
        <w:trPr>
          <w:trHeight w:val="308" w:hRule="atLeast"/>
        </w:trPr>
        <w:tc>
          <w:tcPr>
            <w:tcW w:w="5000" w:type="pct"/>
            <w:gridSpan w:val="17"/>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2.本表批复到项级科目。</w:t>
            </w:r>
          </w:p>
        </w:tc>
      </w:tr>
    </w:tbl>
    <w:p/>
    <w:p>
      <w:pPr>
        <w:pStyle w:val="2"/>
      </w:pPr>
    </w:p>
    <w:tbl>
      <w:tblPr>
        <w:tblStyle w:val="6"/>
        <w:tblW w:w="0" w:type="auto"/>
        <w:tblInd w:w="0" w:type="dxa"/>
        <w:shd w:val="clear" w:color="auto" w:fill="auto"/>
        <w:tblLayout w:type="autofit"/>
        <w:tblCellMar>
          <w:top w:w="0" w:type="dxa"/>
          <w:left w:w="0" w:type="dxa"/>
          <w:bottom w:w="0" w:type="dxa"/>
          <w:right w:w="0" w:type="dxa"/>
        </w:tblCellMar>
      </w:tblPr>
      <w:tblGrid>
        <w:gridCol w:w="2630"/>
        <w:gridCol w:w="250"/>
        <w:gridCol w:w="250"/>
        <w:gridCol w:w="910"/>
        <w:gridCol w:w="1570"/>
        <w:gridCol w:w="6330"/>
        <w:gridCol w:w="910"/>
        <w:gridCol w:w="470"/>
        <w:gridCol w:w="470"/>
        <w:gridCol w:w="1330"/>
      </w:tblGrid>
      <w:tr>
        <w:tblPrEx>
          <w:shd w:val="clear" w:color="auto" w:fill="auto"/>
          <w:tblCellMar>
            <w:top w:w="0" w:type="dxa"/>
            <w:left w:w="0" w:type="dxa"/>
            <w:bottom w:w="0" w:type="dxa"/>
            <w:right w:w="0" w:type="dxa"/>
          </w:tblCellMar>
        </w:tblPrEx>
        <w:trPr>
          <w:trHeight w:val="390"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国有资本经营预算财政拨款收入支出决算批复表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财决批复08表</w:t>
            </w:r>
          </w:p>
        </w:tc>
      </w:tr>
      <w:tr>
        <w:tblPrEx>
          <w:shd w:val="clear" w:color="auto" w:fill="auto"/>
          <w:tblCellMar>
            <w:top w:w="0" w:type="dxa"/>
            <w:left w:w="0" w:type="dxa"/>
            <w:bottom w:w="0" w:type="dxa"/>
            <w:right w:w="0" w:type="dxa"/>
          </w:tblCellMar>
        </w:tblPrEx>
        <w:trPr>
          <w:trHeight w:val="255" w:hRule="atLeast"/>
        </w:trPr>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部门：承德高新区教育体育局</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i w:val="0"/>
                <w:color w:val="000000"/>
                <w:sz w:val="20"/>
                <w:szCs w:val="20"/>
                <w:u w:val="none"/>
              </w:rPr>
            </w:pP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shd w:val="clear" w:color="auto" w:fill="auto"/>
          <w:tblCellMar>
            <w:top w:w="0" w:type="dxa"/>
            <w:left w:w="0" w:type="dxa"/>
            <w:bottom w:w="0" w:type="dxa"/>
            <w:right w:w="0" w:type="dxa"/>
          </w:tblCellMar>
        </w:tblPrEx>
        <w:trPr>
          <w:trHeight w:val="308"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0" w:type="auto"/>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0" w:type="auto"/>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CellMar>
            <w:top w:w="0" w:type="dxa"/>
            <w:left w:w="0" w:type="dxa"/>
            <w:bottom w:w="0" w:type="dxa"/>
            <w:right w:w="0"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结转</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w:t>
            </w:r>
          </w:p>
        </w:tc>
      </w:tr>
      <w:tr>
        <w:tblPrEx>
          <w:tblCellMar>
            <w:top w:w="0" w:type="dxa"/>
            <w:left w:w="0" w:type="dxa"/>
            <w:bottom w:w="0" w:type="dxa"/>
            <w:right w:w="0" w:type="dxa"/>
          </w:tblCellMar>
        </w:tblPrEx>
        <w:trPr>
          <w:trHeight w:val="308"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1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类</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款</w:t>
            </w:r>
          </w:p>
        </w:tc>
        <w:tc>
          <w:tcPr>
            <w:tcW w:w="0" w:type="auto"/>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CellMar>
            <w:top w:w="0" w:type="dxa"/>
            <w:left w:w="0" w:type="dxa"/>
            <w:bottom w:w="0" w:type="dxa"/>
            <w:right w:w="0" w:type="dxa"/>
          </w:tblCellMar>
        </w:tblPrEx>
        <w:trPr>
          <w:trHeight w:val="308" w:hRule="atLeast"/>
        </w:trPr>
        <w:tc>
          <w:tcPr>
            <w:tcW w:w="0" w:type="auto"/>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注：1.本表依据《国有资本经营预算财政拨款收入支出决算表》（财决11表）进行批复。</w:t>
            </w:r>
          </w:p>
        </w:tc>
      </w:tr>
      <w:tr>
        <w:tblPrEx>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2.本表批复到项级科目。</w:t>
            </w:r>
          </w:p>
        </w:tc>
      </w:tr>
      <w:tr>
        <w:tblPrEx>
          <w:tblCellMar>
            <w:top w:w="0" w:type="dxa"/>
            <w:left w:w="0" w:type="dxa"/>
            <w:bottom w:w="0" w:type="dxa"/>
            <w:right w:w="0" w:type="dxa"/>
          </w:tblCellMar>
        </w:tblPrEx>
        <w:trPr>
          <w:trHeight w:val="308" w:hRule="atLeast"/>
        </w:trPr>
        <w:tc>
          <w:tcPr>
            <w:tcW w:w="0" w:type="auto"/>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3.本表以“万元”为金额单位（保留两位小数）。</w:t>
            </w:r>
          </w:p>
        </w:tc>
      </w:tr>
    </w:tbl>
    <w:p/>
    <w:p>
      <w:pPr>
        <w:pStyle w:val="2"/>
        <w:jc w:val="both"/>
        <w:rPr>
          <w:rFonts w:hint="eastAsia" w:eastAsiaTheme="minorEastAsia"/>
          <w:lang w:eastAsia="zh-CN"/>
        </w:rPr>
      </w:pPr>
    </w:p>
    <w:p>
      <w:pPr>
        <w:rPr>
          <w:rFonts w:hint="eastAsia" w:eastAsiaTheme="minorEastAsia"/>
          <w:lang w:eastAsia="zh-CN"/>
        </w:rPr>
      </w:pPr>
    </w:p>
    <w:tbl>
      <w:tblPr>
        <w:tblStyle w:val="6"/>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rPr>
                <w:rFonts w:ascii="Arial" w:hAnsi="Arial" w:cs="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4</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5</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6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小计</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7</w:t>
            </w:r>
          </w:p>
        </w:tc>
        <w:tc>
          <w:tcPr>
            <w:tcW w:w="16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8</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9</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10</w:t>
            </w:r>
          </w:p>
        </w:tc>
        <w:tc>
          <w:tcPr>
            <w:tcW w:w="15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11</w:t>
            </w:r>
          </w:p>
        </w:tc>
        <w:tc>
          <w:tcPr>
            <w:tcW w:w="1572"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c>
          <w:tcPr>
            <w:tcW w:w="0" w:type="auto"/>
            <w:tcBorders>
              <w:top w:val="nil"/>
              <w:left w:val="nil"/>
              <w:bottom w:val="single" w:color="auto" w:sz="4" w:space="0"/>
              <w:right w:val="single" w:color="auto" w:sz="4" w:space="0"/>
            </w:tcBorders>
            <w:shd w:val="clear" w:color="auto" w:fill="auto"/>
            <w:noWrap/>
            <w:tcMar>
              <w:top w:w="15" w:type="dxa"/>
              <w:left w:w="15" w:type="dxa"/>
              <w:right w:w="15" w:type="dxa"/>
            </w:tcMar>
            <w:vAlign w:val="center"/>
          </w:tcPr>
          <w:p>
            <w:pPr>
              <w:jc w:val="right"/>
              <w:rPr>
                <w:rFonts w:hint="eastAsia" w:ascii="宋体" w:hAnsi="宋体" w:eastAsia="宋体" w:cs="宋体"/>
                <w:color w:val="000000"/>
                <w:sz w:val="22"/>
                <w:lang w:val="en-US" w:eastAsia="zh-CN"/>
              </w:rPr>
            </w:pPr>
            <w:r>
              <w:rPr>
                <w:rFonts w:hint="eastAsia" w:ascii="宋体" w:hAnsi="宋体" w:eastAsia="宋体" w:cs="宋体"/>
                <w:color w:val="000000"/>
                <w:sz w:val="22"/>
                <w:lang w:val="en-US" w:eastAsia="zh-CN"/>
              </w:rPr>
              <w:t>0</w:t>
            </w:r>
          </w:p>
        </w:tc>
      </w:tr>
    </w:tbl>
    <w:p>
      <w:pPr>
        <w:pStyle w:val="2"/>
        <w:rPr>
          <w:rFonts w:hint="eastAsia" w:eastAsiaTheme="minorEastAsia"/>
          <w:lang w:eastAsia="zh-CN"/>
        </w:rPr>
      </w:pPr>
      <w:r>
        <w:rPr>
          <w:rFonts w:hint="eastAsia" w:ascii="宋体" w:hAnsi="宋体" w:eastAsia="宋体" w:cs="宋体"/>
        </w:rPr>
        <w:t>注：本表反映部门本年度“三公”经费支出预决算情况。其中：预算数为“三公”经费全年预算数，反映按规定程序调整后的预算数；决算数是包括当年一般公共预算财政拨款和</w:t>
      </w:r>
    </w:p>
    <w:p>
      <w:pPr>
        <w:rPr>
          <w:rFonts w:hint="eastAsia" w:eastAsiaTheme="minorEastAsia"/>
          <w:lang w:eastAsia="zh-CN"/>
        </w:rPr>
      </w:pPr>
    </w:p>
    <w:p>
      <w:pPr>
        <w:pStyle w:val="2"/>
        <w:rPr>
          <w:rFonts w:hint="eastAsia" w:eastAsiaTheme="minorEastAsia"/>
          <w:lang w:eastAsia="zh-CN"/>
        </w:rPr>
      </w:pPr>
    </w:p>
    <w:p>
      <w:pPr>
        <w:rPr>
          <w:rFonts w:hint="eastAsia"/>
          <w:lang w:eastAsia="zh-CN"/>
        </w:rPr>
      </w:pPr>
    </w:p>
    <w:sectPr>
      <w:pgSz w:w="16838" w:h="11906" w:orient="landscape"/>
      <w:pgMar w:top="28" w:right="85" w:bottom="85" w:left="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Black">
    <w:panose1 w:val="020B0A04020102020204"/>
    <w:charset w:val="00"/>
    <w:family w:val="swiss"/>
    <w:pitch w:val="default"/>
    <w:sig w:usb0="00000287" w:usb1="00000000" w:usb2="00000000" w:usb3="00000000" w:csb0="2000009F" w:csb1="DFD70000"/>
  </w:font>
  <w:font w:name="ArialUnicodeMS">
    <w:altName w:val="Malgun Gothic"/>
    <w:panose1 w:val="00000000000000000000"/>
    <w:charset w:val="81"/>
    <w:family w:val="auto"/>
    <w:pitch w:val="default"/>
    <w:sig w:usb0="00000000" w:usb1="00000000" w:usb2="00000010" w:usb3="00000000" w:csb0="00080001" w:csb1="00000000"/>
  </w:font>
  <w:font w:name="Malgun Gothic">
    <w:panose1 w:val="020B0503020000020004"/>
    <w:charset w:val="81"/>
    <w:family w:val="auto"/>
    <w:pitch w:val="default"/>
    <w:sig w:usb0="900002AF" w:usb1="01D77CFB" w:usb2="00000012" w:usb3="00000000" w:csb0="00080001" w:csb1="00000000"/>
  </w:font>
  <w:font w:name="Mongolian Baiti">
    <w:panose1 w:val="03000500000000000000"/>
    <w:charset w:val="00"/>
    <w:family w:val="script"/>
    <w:pitch w:val="default"/>
    <w:sig w:usb0="80000023" w:usb1="00000000" w:usb2="00020000" w:usb3="00000000" w:csb0="00000001" w:csb1="00000000"/>
  </w:font>
  <w:font w:name="DengXian-Regular">
    <w:altName w:val="宋体"/>
    <w:panose1 w:val="00000000000000000000"/>
    <w:charset w:val="86"/>
    <w:family w:val="auto"/>
    <w:pitch w:val="default"/>
    <w:sig w:usb0="00000000" w:usb1="00000000" w:usb2="00000010" w:usb3="00000000" w:csb0="00040001" w:csb1="00000000"/>
  </w:font>
  <w:font w:name="MS-UIGothic,Bold">
    <w:altName w:val="Malgun Gothic"/>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45458"/>
    <w:rsid w:val="00061A05"/>
    <w:rsid w:val="0018668E"/>
    <w:rsid w:val="001B73D2"/>
    <w:rsid w:val="001E62BF"/>
    <w:rsid w:val="00293E7B"/>
    <w:rsid w:val="002D1F4F"/>
    <w:rsid w:val="00366D90"/>
    <w:rsid w:val="003D678E"/>
    <w:rsid w:val="00801F66"/>
    <w:rsid w:val="009334BF"/>
    <w:rsid w:val="022D2B0B"/>
    <w:rsid w:val="058B71E0"/>
    <w:rsid w:val="0ACC7A5F"/>
    <w:rsid w:val="0EA325C9"/>
    <w:rsid w:val="11571EC8"/>
    <w:rsid w:val="13403CEF"/>
    <w:rsid w:val="29182AFD"/>
    <w:rsid w:val="2FB96948"/>
    <w:rsid w:val="34C45458"/>
    <w:rsid w:val="35C83C42"/>
    <w:rsid w:val="5D0C63C4"/>
    <w:rsid w:val="5F692133"/>
    <w:rsid w:val="607F5DEF"/>
    <w:rsid w:val="641972EE"/>
    <w:rsid w:val="671B0AF0"/>
    <w:rsid w:val="6C1030DC"/>
    <w:rsid w:val="6FB308A3"/>
    <w:rsid w:val="72025D90"/>
    <w:rsid w:val="73D824BD"/>
    <w:rsid w:val="7E734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1"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center"/>
      <w:outlineLvl w:val="0"/>
    </w:pPr>
    <w:rPr>
      <w:rFonts w:ascii="Cambria" w:hAnsi="Cambria" w:cs="Cambria"/>
      <w:b/>
      <w:bCs/>
      <w:sz w:val="32"/>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1"/>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bmp"/><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b="1"/>
              <a:t>收入支出决算</a:t>
            </a:r>
            <a:endParaRPr altLang="zh-CN" b="1"/>
          </a:p>
        </c:rich>
      </c:tx>
      <c:layout>
        <c:manualLayout>
          <c:xMode val="edge"/>
          <c:yMode val="edge"/>
          <c:x val="0.380025773195876"/>
          <c:y val="0.0293159609120521"/>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2019年</c:v>
                </c:pt>
              </c:strCache>
            </c:strRef>
          </c:cat>
          <c:val>
            <c:numRef>
              <c:f>Sheet1!$B$2:$B$3</c:f>
              <c:numCache>
                <c:formatCode>General</c:formatCode>
                <c:ptCount val="2"/>
                <c:pt idx="0">
                  <c:v>30692</c:v>
                </c:pt>
                <c:pt idx="1">
                  <c:v>22949.38</c:v>
                </c:pt>
              </c:numCache>
            </c:numRef>
          </c:val>
        </c:ser>
        <c:ser>
          <c:idx val="1"/>
          <c:order val="1"/>
          <c:tx>
            <c:strRef>
              <c:f>Sheet1!$C$1</c:f>
              <c:strCache>
                <c:ptCount val="1"/>
                <c:pt idx="0">
                  <c:v>支出</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2019年</c:v>
                </c:pt>
              </c:strCache>
            </c:strRef>
          </c:cat>
          <c:val>
            <c:numRef>
              <c:f>Sheet1!$C$2:$C$3</c:f>
              <c:numCache>
                <c:formatCode>General</c:formatCode>
                <c:ptCount val="2"/>
                <c:pt idx="0">
                  <c:v>22218.9</c:v>
                </c:pt>
                <c:pt idx="1">
                  <c:v>19123.35</c:v>
                </c:pt>
              </c:numCache>
            </c:numRef>
          </c:val>
        </c:ser>
        <c:ser>
          <c:idx val="2"/>
          <c:order val="2"/>
          <c:tx>
            <c:strRef>
              <c:f>Sheet1!$D$1</c:f>
              <c:strCache>
                <c:ptCount val="1"/>
                <c:pt idx="0">
                  <c:v>结余</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c:v>
                </c:pt>
                <c:pt idx="1">
                  <c:v>2019年</c:v>
                </c:pt>
              </c:strCache>
            </c:strRef>
          </c:cat>
          <c:val>
            <c:numRef>
              <c:f>Sheet1!$D$2:$D$3</c:f>
              <c:numCache>
                <c:formatCode>General</c:formatCode>
                <c:ptCount val="2"/>
                <c:pt idx="0">
                  <c:v>8452.67</c:v>
                </c:pt>
                <c:pt idx="1">
                  <c:v>8473.1</c:v>
                </c:pt>
              </c:numCache>
            </c:numRef>
          </c:val>
        </c:ser>
        <c:dLbls>
          <c:showLegendKey val="0"/>
          <c:showVal val="0"/>
          <c:showCatName val="0"/>
          <c:showSerName val="0"/>
          <c:showPercent val="0"/>
          <c:showBubbleSize val="0"/>
        </c:dLbls>
        <c:gapWidth val="219"/>
        <c:overlap val="-27"/>
        <c:axId val="628992009"/>
        <c:axId val="700936474"/>
      </c:barChart>
      <c:catAx>
        <c:axId val="62899200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0936474"/>
        <c:crosses val="autoZero"/>
        <c:auto val="1"/>
        <c:lblAlgn val="ctr"/>
        <c:lblOffset val="100"/>
        <c:noMultiLvlLbl val="0"/>
      </c:catAx>
      <c:valAx>
        <c:axId val="700936474"/>
        <c:scaling>
          <c:orientation val="minMax"/>
          <c:max val="4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899200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项目支出</a:t>
            </a:r>
            <a:endParaRPr b="1"/>
          </a:p>
        </c:rich>
      </c:tx>
      <c:layout>
        <c:manualLayout>
          <c:xMode val="edge"/>
          <c:yMode val="edge"/>
          <c:x val="0.411962987442168"/>
          <c:y val="0.0189833368487661"/>
        </c:manualLayout>
      </c:layout>
      <c:overlay val="0"/>
      <c:spPr>
        <a:noFill/>
        <a:ln>
          <a:noFill/>
        </a:ln>
        <a:effectLst/>
      </c:spPr>
    </c:title>
    <c:autoTitleDeleted val="0"/>
    <c:plotArea>
      <c:layout/>
      <c:pieChart>
        <c:varyColors val="1"/>
        <c:ser>
          <c:idx val="0"/>
          <c:order val="0"/>
          <c:tx>
            <c:strRef>
              <c:f>Sheet1!$B$1</c:f>
              <c:strCache>
                <c:ptCount val="1"/>
                <c:pt idx="0">
                  <c:v>资金</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基本支出</c:v>
                </c:pt>
                <c:pt idx="1">
                  <c:v>项目支出</c:v>
                </c:pt>
              </c:strCache>
            </c:strRef>
          </c:cat>
          <c:val>
            <c:numRef>
              <c:f>Sheet1!$B$2:$B$5</c:f>
              <c:numCache>
                <c:formatCode>0%</c:formatCode>
                <c:ptCount val="4"/>
                <c:pt idx="0">
                  <c:v>0.57</c:v>
                </c:pt>
                <c:pt idx="1">
                  <c:v>0.43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5565259002273"/>
          <c:y val="0.939530516431925"/>
          <c:w val="0.497786816604857"/>
          <c:h val="0.054835680751173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财政拨款收支</a:t>
            </a:r>
            <a:endParaRPr altLang="en-US"/>
          </a:p>
        </c:rich>
      </c:tx>
      <c:layout>
        <c:manualLayout>
          <c:xMode val="edge"/>
          <c:yMode val="edge"/>
          <c:x val="0.4255"/>
          <c:y val="0.0393333333333333"/>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28477.25</c:v>
                </c:pt>
              </c:numCache>
            </c:numRef>
          </c:val>
        </c:ser>
        <c:ser>
          <c:idx val="1"/>
          <c:order val="1"/>
          <c:tx>
            <c:strRef>
              <c:f>Sheet1!$C$1</c:f>
              <c:strCache>
                <c:ptCount val="1"/>
                <c:pt idx="0">
                  <c:v>2019年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16257.91</c:v>
                </c:pt>
              </c:numCache>
            </c:numRef>
          </c:val>
        </c:ser>
        <c:ser>
          <c:idx val="2"/>
          <c:order val="2"/>
          <c:tx>
            <c:strRef>
              <c:f>Sheet1!$D$1</c:f>
              <c:strCache>
                <c:ptCount val="1"/>
                <c:pt idx="0">
                  <c:v>增加</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Sheet1!$D$2</c:f>
              <c:numCache>
                <c:formatCode>General</c:formatCode>
                <c:ptCount val="1"/>
                <c:pt idx="0">
                  <c:v>12219.34</c:v>
                </c:pt>
              </c:numCache>
            </c:numRef>
          </c:val>
        </c:ser>
        <c:dLbls>
          <c:showLegendKey val="0"/>
          <c:showVal val="1"/>
          <c:showCatName val="0"/>
          <c:showSerName val="0"/>
          <c:showPercent val="0"/>
          <c:showBubbleSize val="0"/>
        </c:dLbls>
        <c:gapWidth val="219"/>
        <c:overlap val="-27"/>
        <c:axId val="932621326"/>
        <c:axId val="785032019"/>
      </c:barChart>
      <c:catAx>
        <c:axId val="9326213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5032019"/>
        <c:crosses val="autoZero"/>
        <c:auto val="1"/>
        <c:lblAlgn val="ctr"/>
        <c:lblOffset val="100"/>
        <c:noMultiLvlLbl val="0"/>
      </c:catAx>
      <c:valAx>
        <c:axId val="785032019"/>
        <c:scaling>
          <c:orientation val="minMax"/>
          <c:max val="4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262132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2020年</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教育支出</c:v>
                </c:pt>
                <c:pt idx="1">
                  <c:v>城乡社区支出</c:v>
                </c:pt>
              </c:strCache>
            </c:strRef>
          </c:cat>
          <c:val>
            <c:numRef>
              <c:f>Sheet1!$B$2:$B$3</c:f>
              <c:numCache>
                <c:formatCode>0%</c:formatCode>
                <c:ptCount val="2"/>
                <c:pt idx="0">
                  <c:v>0.97</c:v>
                </c:pt>
                <c:pt idx="1">
                  <c:v>0.03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60025220680958"/>
          <c:y val="0.925754060324826"/>
          <c:w val="0.476796973518285"/>
          <c:h val="0.059330460722572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1732</Words>
  <Characters>9876</Characters>
  <Lines>82</Lines>
  <Paragraphs>23</Paragraphs>
  <TotalTime>1</TotalTime>
  <ScaleCrop>false</ScaleCrop>
  <LinksUpToDate>false</LinksUpToDate>
  <CharactersWithSpaces>11585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2021-07-27T05:10:00Z</dcterms:created>
  <dc:creator>王明新TIAD</dc:creator>
  <cp:lastModifiedBy>Administrator</cp:lastModifiedBy>
  <dcterms:modified xsi:type="dcterms:W3CDTF">2022-09-05T00:45:35Z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0EFED21545C346F5B1E2CF7C8367B7A5</vt:lpwstr>
  </property>
</Properties>
</file>