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jc w:val="center"/>
        <w:rPr>
          <w:rFonts w:hint="eastAsia" w:ascii="黑体" w:hAnsi="黑体" w:eastAsia="黑体" w:cs="黑体"/>
          <w:sz w:val="72"/>
          <w:szCs w:val="96"/>
          <w:highlight w:val="yellow"/>
          <w:lang w:eastAsia="zh-CN"/>
        </w:rPr>
      </w:pPr>
      <w:r>
        <w:rPr>
          <w:rFonts w:hint="eastAsia" w:ascii="黑体" w:hAnsi="黑体" w:eastAsia="黑体" w:cs="黑体"/>
          <w:sz w:val="72"/>
          <w:szCs w:val="96"/>
          <w:lang w:eastAsia="zh-CN"/>
        </w:rPr>
        <w:t>高新区林业水务局</w:t>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w:t>
      </w:r>
      <w:r>
        <w:rPr>
          <w:rFonts w:hint="eastAsia" w:ascii="楷体_GB2312" w:hAnsi="楷体_GB2312" w:eastAsia="楷体_GB2312" w:cs="楷体_GB2312"/>
          <w:color w:val="000000" w:themeColor="text1"/>
          <w:kern w:val="0"/>
          <w:sz w:val="40"/>
          <w:szCs w:val="40"/>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十一</w:t>
      </w: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林业水务局5个内设科室，分别为综合科、林政资源管理科（森林防火指挥部办公室）、生态修复科（绿化委员会办公室）、水利建设管理科、河湖管理科（河长制办公室、防汛抗旱办公室），局长一正一副。</w:t>
      </w:r>
    </w:p>
    <w:p>
      <w:pPr>
        <w:numPr>
          <w:ilvl w:val="0"/>
          <w:numId w:val="1"/>
        </w:numPr>
        <w:rPr>
          <w:rFonts w:hint="eastAsia" w:ascii="楷体_GB2312" w:eastAsia="楷体_GB2312"/>
          <w:b/>
          <w:sz w:val="32"/>
          <w:szCs w:val="32"/>
        </w:rPr>
      </w:pPr>
      <w:r>
        <w:rPr>
          <w:rFonts w:hint="eastAsia" w:ascii="楷体_GB2312" w:eastAsia="楷体_GB2312"/>
          <w:b/>
          <w:sz w:val="32"/>
          <w:szCs w:val="32"/>
        </w:rPr>
        <w:t>部门主要职责</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1.贯彻落实中央、省、市、区关于林业水务工作的方针政策、法律法规及决策部署，组织编制发展规划及年度计划并组织实施。</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 负责拟定全区资源保护发展的政策措施，林业和草原改革发展工作。</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3.负责指导水利设施的管理、保护、安全鉴定和综合利用。</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4.负责制定主要河道防御洪水方案，承办区防汛抗旱指挥部日常工作。</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5.负责文电、会务等河湖长办日常运转工作；制定河长制年度工作要点；组织实施河长制宣传工作；负责涉及生态环境保护工作的组织、协调、指导。</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仿宋" w:hAnsi="仿宋" w:eastAsia="仿宋"/>
          <w:sz w:val="32"/>
          <w:szCs w:val="32"/>
        </w:rPr>
      </w:pPr>
      <w:r>
        <w:rPr>
          <w:rFonts w:hint="eastAsia" w:ascii="Times New Roman" w:hAnsi="Times New Roman" w:eastAsia="仿宋_GB2312" w:cs="Times New Roman"/>
          <w:sz w:val="32"/>
          <w:szCs w:val="32"/>
        </w:rPr>
        <w:t>6.承担上级部门及工管委交办的其它事项。</w:t>
      </w:r>
    </w:p>
    <w:p>
      <w:pPr>
        <w:ind w:firstLine="640"/>
        <w:rPr>
          <w:rFonts w:hint="eastAsia" w:ascii="楷体_GB2312" w:eastAsia="楷体_GB2312"/>
          <w:b/>
          <w:sz w:val="32"/>
          <w:szCs w:val="32"/>
        </w:rPr>
      </w:pPr>
      <w:r>
        <w:rPr>
          <w:rFonts w:hint="eastAsia" w:ascii="楷体_GB2312" w:eastAsia="楷体_GB2312"/>
          <w:b/>
          <w:sz w:val="32"/>
          <w:szCs w:val="32"/>
        </w:rPr>
        <w:t>（二）内设科室职责</w:t>
      </w:r>
    </w:p>
    <w:p>
      <w:pPr>
        <w:spacing w:line="360" w:lineRule="auto"/>
        <w:ind w:firstLine="630" w:firstLineChars="196"/>
        <w:jc w:val="left"/>
        <w:rPr>
          <w:rFonts w:hint="eastAsia" w:ascii="楷体" w:hAnsi="楷体" w:eastAsia="楷体" w:cs="楷体"/>
          <w:b/>
          <w:bCs/>
          <w:sz w:val="32"/>
          <w:szCs w:val="32"/>
        </w:rPr>
      </w:pPr>
      <w:r>
        <w:rPr>
          <w:rFonts w:hint="eastAsia" w:ascii="楷体" w:hAnsi="楷体" w:eastAsia="楷体" w:cs="楷体"/>
          <w:b/>
          <w:bCs/>
          <w:sz w:val="32"/>
          <w:szCs w:val="32"/>
        </w:rPr>
        <w:t>1.综合科</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协助局领导组织、协调机关日常工作，负责拟定和监督执行局机关各项议事规则、工作制度；负责局机关财务与资产管理，文秘、档案、会务、考核，保密、政务公开、信息化、安全生产、新闻宣传及行政后勤等工作。</w:t>
      </w:r>
    </w:p>
    <w:p>
      <w:pPr>
        <w:spacing w:line="360" w:lineRule="auto"/>
        <w:ind w:firstLine="643" w:firstLineChars="200"/>
        <w:jc w:val="left"/>
        <w:rPr>
          <w:rFonts w:hint="eastAsia" w:ascii="楷体" w:hAnsi="楷体" w:eastAsia="楷体" w:cs="仿宋"/>
          <w:b/>
          <w:bCs/>
          <w:sz w:val="32"/>
          <w:szCs w:val="32"/>
        </w:rPr>
      </w:pPr>
      <w:r>
        <w:rPr>
          <w:rFonts w:hint="eastAsia" w:ascii="楷体" w:hAnsi="楷体" w:eastAsia="楷体" w:cs="仿宋"/>
          <w:b/>
          <w:bCs/>
          <w:sz w:val="32"/>
          <w:szCs w:val="32"/>
        </w:rPr>
        <w:t>2.林政资源管理科（森林防火指挥部办公室）</w:t>
      </w:r>
    </w:p>
    <w:p>
      <w:pPr>
        <w:spacing w:line="360" w:lineRule="auto"/>
        <w:ind w:firstLine="640" w:firstLineChars="200"/>
        <w:jc w:val="left"/>
        <w:rPr>
          <w:rFonts w:hint="eastAsia" w:ascii="楷体" w:hAnsi="楷体" w:eastAsia="楷体" w:cs="仿宋"/>
          <w:b/>
          <w:bCs/>
          <w:sz w:val="32"/>
          <w:szCs w:val="32"/>
        </w:rPr>
      </w:pPr>
      <w:r>
        <w:rPr>
          <w:rFonts w:hint="eastAsia" w:ascii="Times New Roman" w:hAnsi="Times New Roman" w:eastAsia="仿宋_GB2312" w:cs="Times New Roman"/>
          <w:sz w:val="32"/>
          <w:szCs w:val="32"/>
        </w:rPr>
        <w:t>负责森林防火指挥部办公室日常工作，退耕还林、公益林、天然林管理；林政执法，林业资源管理，自然保护地管理，陆生野生动植物保护，护林防火（区森林消防队）；老爷庙林场管理，林权纠纷，信访统计等工作。</w:t>
      </w:r>
    </w:p>
    <w:p>
      <w:pPr>
        <w:spacing w:line="360" w:lineRule="auto"/>
        <w:ind w:firstLine="643" w:firstLineChars="200"/>
        <w:jc w:val="left"/>
        <w:rPr>
          <w:rFonts w:hint="eastAsia" w:ascii="楷体" w:hAnsi="楷体" w:eastAsia="楷体" w:cs="仿宋"/>
          <w:b/>
          <w:bCs/>
          <w:sz w:val="32"/>
          <w:szCs w:val="32"/>
        </w:rPr>
      </w:pPr>
      <w:r>
        <w:rPr>
          <w:rFonts w:hint="eastAsia" w:ascii="楷体" w:hAnsi="楷体" w:eastAsia="楷体" w:cs="仿宋"/>
          <w:b/>
          <w:bCs/>
          <w:sz w:val="32"/>
          <w:szCs w:val="32"/>
        </w:rPr>
        <w:t>3.生态修复科（绿化委员会办公室）</w:t>
      </w:r>
    </w:p>
    <w:p>
      <w:pPr>
        <w:spacing w:line="360" w:lineRule="auto"/>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负责绿化委员会办公室日常工作，绿化造林；人居环境整治（村庄绿化），产业扶贫，产业化管理，经济林（干果），有害生物防治，果品安全，治沙项目管理，森林城市创建，种苗管理，使用林地审查，林木采伐管理等工作。</w:t>
      </w:r>
    </w:p>
    <w:p>
      <w:pPr>
        <w:spacing w:line="360" w:lineRule="auto"/>
        <w:ind w:firstLine="630" w:firstLineChars="196"/>
        <w:jc w:val="left"/>
        <w:rPr>
          <w:rFonts w:hint="eastAsia" w:ascii="楷体" w:hAnsi="楷体" w:eastAsia="楷体" w:cs="仿宋"/>
          <w:b/>
          <w:bCs/>
          <w:sz w:val="32"/>
          <w:szCs w:val="32"/>
        </w:rPr>
      </w:pPr>
      <w:r>
        <w:rPr>
          <w:rFonts w:hint="eastAsia" w:ascii="楷体" w:hAnsi="楷体" w:eastAsia="楷体" w:cs="仿宋"/>
          <w:b/>
          <w:bCs/>
          <w:sz w:val="32"/>
          <w:szCs w:val="32"/>
        </w:rPr>
        <w:t>4.水利建设管理科</w:t>
      </w:r>
    </w:p>
    <w:p>
      <w:pPr>
        <w:spacing w:line="360" w:lineRule="auto"/>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负责水利规划计划，水旱灾害防御，水务统计，水资源管理和节约用水（配合市局），水利工程建设管理，水利工程质量和安全监督，水土保持，水保预防监督，农村饮水安全，农村水利水电等工作。</w:t>
      </w:r>
    </w:p>
    <w:p>
      <w:pPr>
        <w:spacing w:line="360" w:lineRule="auto"/>
        <w:ind w:firstLine="630" w:firstLineChars="196"/>
        <w:jc w:val="left"/>
        <w:rPr>
          <w:rFonts w:hint="eastAsia" w:ascii="楷体" w:hAnsi="楷体" w:eastAsia="楷体" w:cs="仿宋"/>
          <w:b/>
          <w:bCs/>
          <w:color w:val="000000"/>
          <w:sz w:val="32"/>
          <w:szCs w:val="32"/>
          <w:shd w:val="clear" w:color="auto" w:fill="FFFFFF"/>
        </w:rPr>
      </w:pPr>
      <w:r>
        <w:rPr>
          <w:rFonts w:hint="eastAsia" w:ascii="楷体" w:hAnsi="楷体" w:eastAsia="楷体" w:cs="仿宋"/>
          <w:b/>
          <w:bCs/>
          <w:color w:val="000000"/>
          <w:sz w:val="32"/>
          <w:szCs w:val="32"/>
          <w:shd w:val="clear" w:color="auto" w:fill="FFFFFF"/>
        </w:rPr>
        <w:t>5.河湖管理科（河长制办公室、防汛抗旱办公室）</w:t>
      </w:r>
    </w:p>
    <w:p>
      <w:pPr>
        <w:spacing w:line="360" w:lineRule="auto"/>
        <w:ind w:firstLine="627" w:firstLineChars="196"/>
        <w:jc w:val="left"/>
        <w:rPr>
          <w:rFonts w:ascii="仿宋_GB2312" w:hAnsi="Calibri" w:eastAsia="仿宋_GB2312" w:cs="Arial Black"/>
          <w:kern w:val="0"/>
          <w:sz w:val="32"/>
          <w:szCs w:val="32"/>
        </w:rPr>
      </w:pPr>
      <w:r>
        <w:rPr>
          <w:rFonts w:hint="eastAsia" w:ascii="Times New Roman" w:hAnsi="Times New Roman" w:eastAsia="仿宋_GB2312" w:cs="Times New Roman"/>
          <w:sz w:val="32"/>
          <w:szCs w:val="32"/>
        </w:rPr>
        <w:t>负责涉水生态环境保护，政策法规，水政监察，水域岸线管理、水污染防治等工作。承担河长办、防汛办日常工作；负责组织制定河长制管理制度；协调、交办、督查、落实本级河长及上级河长办交办事项; 负责围垦河道及非法采砂清理整治；负责编制和组织实施各类防洪预案，负责汛期防汛等各项工作。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 xml:space="preserve">年度本部门决算汇编范围的独立核算单位（以下简称“单位”）共 </w:t>
      </w:r>
      <w:r>
        <w:rPr>
          <w:rFonts w:hint="eastAsia" w:ascii="仿宋_GB2312" w:hAnsi="Calibri" w:eastAsia="仿宋_GB2312" w:cs="Arial Black"/>
          <w:kern w:val="0"/>
          <w:sz w:val="32"/>
          <w:szCs w:val="32"/>
          <w:lang w:val="en-US" w:eastAsia="zh-CN"/>
        </w:rPr>
        <w:t>1</w:t>
      </w:r>
      <w:r>
        <w:rPr>
          <w:rFonts w:hint="eastAsia" w:ascii="仿宋_GB2312" w:hAnsi="Calibri" w:eastAsia="仿宋_GB2312" w:cs="Arial Black"/>
          <w:kern w:val="0"/>
          <w:sz w:val="32"/>
          <w:szCs w:val="32"/>
        </w:rPr>
        <w:t xml:space="preserve"> 个，具体情况如下：</w:t>
      </w:r>
    </w:p>
    <w:tbl>
      <w:tblPr>
        <w:tblStyle w:val="7"/>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0"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lang w:eastAsia="zh-CN"/>
              </w:rPr>
              <w:t>高新区林业水务局</w:t>
            </w:r>
            <w:r>
              <w:rPr>
                <w:rFonts w:hint="eastAsia" w:ascii="仿宋_GB2312" w:hAnsi="Calibri" w:eastAsia="仿宋_GB2312" w:cs="Arial Black"/>
                <w:kern w:val="0"/>
                <w:sz w:val="28"/>
                <w:szCs w:val="28"/>
              </w:rPr>
              <w:t>(本级)</w:t>
            </w:r>
          </w:p>
        </w:tc>
        <w:tc>
          <w:tcPr>
            <w:tcW w:w="2404" w:type="dxa"/>
          </w:tcPr>
          <w:p>
            <w:pPr>
              <w:spacing w:line="560" w:lineRule="exact"/>
              <w:jc w:val="center"/>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val="en-US" w:eastAsia="zh-CN"/>
              </w:rPr>
              <w:t>行政</w:t>
            </w:r>
            <w:r>
              <w:rPr>
                <w:rFonts w:hint="eastAsia" w:ascii="仿宋_GB2312" w:hAnsi="Calibri" w:eastAsia="仿宋_GB2312" w:cs="Arial Black"/>
                <w:kern w:val="0"/>
                <w:sz w:val="28"/>
                <w:szCs w:val="28"/>
                <w:lang w:eastAsia="zh-CN"/>
              </w:rPr>
              <w:t>单位</w:t>
            </w:r>
          </w:p>
        </w:tc>
        <w:tc>
          <w:tcPr>
            <w:tcW w:w="2620" w:type="dxa"/>
          </w:tcPr>
          <w:p>
            <w:pPr>
              <w:spacing w:line="560" w:lineRule="exact"/>
              <w:jc w:val="center"/>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2</w:t>
            </w:r>
          </w:p>
        </w:tc>
        <w:tc>
          <w:tcPr>
            <w:tcW w:w="3426" w:type="dxa"/>
          </w:tcPr>
          <w:p>
            <w:pPr>
              <w:spacing w:line="560" w:lineRule="exact"/>
              <w:rPr>
                <w:rFonts w:ascii="仿宋_GB2312" w:hAnsi="Calibri" w:eastAsia="仿宋_GB2312" w:cs="Arial Black"/>
                <w:kern w:val="0"/>
                <w:sz w:val="28"/>
                <w:szCs w:val="28"/>
              </w:rPr>
            </w:pPr>
          </w:p>
        </w:tc>
        <w:tc>
          <w:tcPr>
            <w:tcW w:w="2404" w:type="dxa"/>
          </w:tcPr>
          <w:p>
            <w:pPr>
              <w:spacing w:line="560" w:lineRule="exact"/>
              <w:jc w:val="center"/>
              <w:rPr>
                <w:rFonts w:ascii="仿宋_GB2312" w:hAnsi="Calibri" w:eastAsia="仿宋_GB2312" w:cs="Arial Black"/>
                <w:kern w:val="0"/>
                <w:sz w:val="28"/>
                <w:szCs w:val="28"/>
              </w:rPr>
            </w:pPr>
          </w:p>
        </w:tc>
        <w:tc>
          <w:tcPr>
            <w:tcW w:w="2620" w:type="dxa"/>
          </w:tcPr>
          <w:p>
            <w:pPr>
              <w:spacing w:line="560" w:lineRule="exact"/>
              <w:jc w:val="center"/>
              <w:rPr>
                <w:rFonts w:ascii="仿宋_GB2312" w:hAnsi="Calibri" w:eastAsia="仿宋_GB2312" w:cs="Arial Blac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3</w:t>
            </w:r>
          </w:p>
        </w:tc>
        <w:tc>
          <w:tcPr>
            <w:tcW w:w="3426" w:type="dxa"/>
          </w:tcPr>
          <w:p>
            <w:pPr>
              <w:spacing w:line="560" w:lineRule="exact"/>
              <w:rPr>
                <w:rFonts w:ascii="仿宋_GB2312" w:hAnsi="Calibri" w:eastAsia="仿宋_GB2312" w:cs="Arial Black"/>
                <w:kern w:val="0"/>
                <w:sz w:val="28"/>
                <w:szCs w:val="28"/>
              </w:rPr>
            </w:pPr>
          </w:p>
        </w:tc>
        <w:tc>
          <w:tcPr>
            <w:tcW w:w="2404" w:type="dxa"/>
          </w:tcPr>
          <w:p>
            <w:pPr>
              <w:spacing w:line="560" w:lineRule="exact"/>
              <w:jc w:val="center"/>
              <w:rPr>
                <w:rFonts w:ascii="仿宋_GB2312" w:hAnsi="Calibri" w:eastAsia="仿宋_GB2312" w:cs="Arial Black"/>
                <w:kern w:val="0"/>
                <w:sz w:val="28"/>
                <w:szCs w:val="28"/>
              </w:rPr>
            </w:pPr>
          </w:p>
        </w:tc>
        <w:tc>
          <w:tcPr>
            <w:tcW w:w="2620" w:type="dxa"/>
          </w:tcPr>
          <w:p>
            <w:pPr>
              <w:spacing w:line="560" w:lineRule="exact"/>
              <w:jc w:val="center"/>
              <w:rPr>
                <w:rFonts w:ascii="仿宋_GB2312" w:hAnsi="Calibri" w:eastAsia="仿宋_GB2312" w:cs="Arial Blac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8" w:type="dxa"/>
            <w:tcBorders>
              <w:bottom w:val="single" w:color="auto" w:sz="4" w:space="0"/>
            </w:tcBorders>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w:t>
            </w:r>
          </w:p>
        </w:tc>
        <w:tc>
          <w:tcPr>
            <w:tcW w:w="3426" w:type="dxa"/>
            <w:tcBorders>
              <w:bottom w:val="single" w:color="auto" w:sz="4" w:space="0"/>
            </w:tcBorders>
          </w:tcPr>
          <w:p>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w:t>
            </w:r>
          </w:p>
        </w:tc>
        <w:tc>
          <w:tcPr>
            <w:tcW w:w="2404" w:type="dxa"/>
            <w:tcBorders>
              <w:bottom w:val="single" w:color="auto" w:sz="4" w:space="0"/>
            </w:tcBorders>
          </w:tcPr>
          <w:p>
            <w:pPr>
              <w:spacing w:line="560" w:lineRule="exact"/>
              <w:jc w:val="center"/>
              <w:rPr>
                <w:rFonts w:ascii="仿宋_GB2312" w:hAnsi="Calibri" w:eastAsia="仿宋_GB2312" w:cs="Arial Black"/>
                <w:kern w:val="0"/>
                <w:sz w:val="28"/>
                <w:szCs w:val="28"/>
              </w:rPr>
            </w:pPr>
          </w:p>
        </w:tc>
        <w:tc>
          <w:tcPr>
            <w:tcW w:w="2620" w:type="dxa"/>
            <w:tcBorders>
              <w:bottom w:val="single" w:color="auto" w:sz="4" w:space="0"/>
            </w:tcBorders>
          </w:tcPr>
          <w:p>
            <w:pPr>
              <w:spacing w:line="560" w:lineRule="exact"/>
              <w:jc w:val="center"/>
              <w:rPr>
                <w:rFonts w:ascii="仿宋_GB2312" w:hAnsi="Calibri" w:eastAsia="仿宋_GB2312" w:cs="Arial Blac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0795" b="2413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2336;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hint="eastAsia" w:ascii="仿宋_GB2312" w:hAnsi="Times New Roman" w:eastAsia="仿宋_GB2312" w:cs="Wingdings"/>
          <w:color w:val="auto"/>
          <w:sz w:val="32"/>
          <w:szCs w:val="32"/>
          <w:lang w:val="en-US" w:eastAsia="zh-CN"/>
        </w:rPr>
      </w:pPr>
      <w:r>
        <w:rPr>
          <w:rFonts w:hint="eastAsia" w:ascii="仿宋_GB2312" w:hAnsi="Times New Roman" w:eastAsia="仿宋_GB2312" w:cs="Wingdings"/>
          <w:sz w:val="32"/>
          <w:szCs w:val="32"/>
        </w:rPr>
        <w:t>本部门2020年度收、支总计（含结转和结余）</w:t>
      </w:r>
      <w:r>
        <w:rPr>
          <w:rFonts w:hint="eastAsia" w:ascii="仿宋_GB2312" w:hAnsi="Times New Roman" w:eastAsia="仿宋_GB2312" w:cs="Wingdings"/>
          <w:sz w:val="32"/>
          <w:szCs w:val="32"/>
          <w:lang w:val="en-US" w:eastAsia="zh-CN"/>
        </w:rPr>
        <w:t>1012.57</w:t>
      </w:r>
      <w:r>
        <w:rPr>
          <w:rFonts w:hint="eastAsia" w:ascii="仿宋_GB2312" w:hAnsi="Times New Roman" w:eastAsia="仿宋_GB2312" w:cs="Wingdings"/>
          <w:sz w:val="32"/>
          <w:szCs w:val="32"/>
        </w:rPr>
        <w:t>万元。与2019年度决算相比，收支各减少</w:t>
      </w:r>
      <w:r>
        <w:rPr>
          <w:rFonts w:hint="eastAsia" w:ascii="仿宋_GB2312" w:hAnsi="Times New Roman" w:eastAsia="仿宋_GB2312" w:cs="Wingdings"/>
          <w:sz w:val="32"/>
          <w:szCs w:val="32"/>
          <w:lang w:val="en-US" w:eastAsia="zh-CN"/>
        </w:rPr>
        <w:t>4116.05</w:t>
      </w:r>
      <w:r>
        <w:rPr>
          <w:rFonts w:hint="eastAsia" w:ascii="仿宋_GB2312" w:hAnsi="Times New Roman" w:eastAsia="仿宋_GB2312" w:cs="Wingdings"/>
          <w:sz w:val="32"/>
          <w:szCs w:val="32"/>
        </w:rPr>
        <w:t>万元，下降</w:t>
      </w:r>
      <w:r>
        <w:rPr>
          <w:rFonts w:hint="eastAsia" w:ascii="仿宋_GB2312" w:hAnsi="Times New Roman" w:eastAsia="仿宋_GB2312" w:cs="Wingdings"/>
          <w:color w:val="auto"/>
          <w:sz w:val="32"/>
          <w:szCs w:val="32"/>
          <w:lang w:val="en-US" w:eastAsia="zh-CN"/>
        </w:rPr>
        <w:t>80.26</w:t>
      </w:r>
      <w:r>
        <w:rPr>
          <w:rFonts w:hint="eastAsia" w:ascii="仿宋_GB2312" w:hAnsi="Times New Roman" w:eastAsia="仿宋_GB2312" w:cs="Wingdings"/>
          <w:color w:val="auto"/>
          <w:sz w:val="32"/>
          <w:szCs w:val="32"/>
        </w:rPr>
        <w:t>%，主要原因是</w:t>
      </w:r>
      <w:r>
        <w:rPr>
          <w:rFonts w:hint="eastAsia" w:ascii="仿宋_GB2312" w:hAnsi="Times New Roman" w:eastAsia="仿宋_GB2312" w:cs="Wingdings"/>
          <w:color w:val="auto"/>
          <w:sz w:val="32"/>
          <w:szCs w:val="32"/>
          <w:lang w:eastAsia="zh-CN"/>
        </w:rPr>
        <w:t>：</w:t>
      </w:r>
      <w:r>
        <w:rPr>
          <w:rFonts w:hint="eastAsia" w:ascii="仿宋_GB2312" w:hAnsi="Times New Roman" w:eastAsia="仿宋_GB2312" w:cs="DengXian-Regular"/>
          <w:color w:val="auto"/>
          <w:sz w:val="32"/>
          <w:szCs w:val="32"/>
        </w:rPr>
        <w:t>响应国家号召，减少开支</w:t>
      </w:r>
      <w:r>
        <w:rPr>
          <w:rFonts w:hint="eastAsia" w:ascii="仿宋_GB2312" w:hAnsi="Times New Roman" w:eastAsia="仿宋_GB2312" w:cs="Wingdings"/>
          <w:color w:val="auto"/>
          <w:sz w:val="32"/>
          <w:szCs w:val="32"/>
        </w:rPr>
        <w:t>。</w:t>
      </w:r>
      <w:r>
        <w:rPr>
          <w:rFonts w:hint="eastAsia" w:ascii="仿宋_GB2312" w:hAnsi="Times New Roman" w:eastAsia="仿宋_GB2312" w:cs="Wingdings"/>
          <w:color w:val="auto"/>
          <w:sz w:val="32"/>
          <w:szCs w:val="32"/>
          <w:lang w:val="en-US" w:eastAsia="zh-CN"/>
        </w:rPr>
        <w:t>。</w:t>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hint="eastAsia" w:ascii="仿宋_GB2312" w:hAnsi="Times New Roman" w:eastAsia="仿宋_GB2312" w:cs="Wingdings"/>
          <w:sz w:val="32"/>
          <w:szCs w:val="32"/>
        </w:rPr>
        <w:drawing>
          <wp:anchor distT="0" distB="0" distL="114300" distR="114300" simplePos="0" relativeHeight="251663360" behindDoc="1" locked="0" layoutInCell="1" allowOverlap="1">
            <wp:simplePos x="0" y="0"/>
            <wp:positionH relativeFrom="column">
              <wp:posOffset>848995</wp:posOffset>
            </wp:positionH>
            <wp:positionV relativeFrom="paragraph">
              <wp:posOffset>33655</wp:posOffset>
            </wp:positionV>
            <wp:extent cx="4157980" cy="2273300"/>
            <wp:effectExtent l="0" t="0" r="1397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_GB2312" w:hAnsi="Times New Roman" w:eastAsia="仿宋_GB2312" w:cs="Wingdings"/>
          <w:sz w:val="32"/>
          <w:szCs w:val="32"/>
        </w:rPr>
        <w:tab/>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pPr>
        <w:keepNext/>
        <w:keepLines/>
        <w:snapToGrid w:val="0"/>
        <w:spacing w:line="600" w:lineRule="exact"/>
        <w:ind w:firstLine="640" w:firstLineChars="200"/>
        <w:outlineLvl w:val="1"/>
        <w:rPr>
          <w:rFonts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snapToGrid w:val="0"/>
        <w:spacing w:line="600" w:lineRule="exact"/>
        <w:ind w:firstLine="640" w:firstLineChars="200"/>
        <w:outlineLvl w:val="1"/>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本部门2020年度本年收入合计1012</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5</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万元，其中：财政拨款收入1012</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5</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%；事业收入</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%；经营收入</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%；其他收入</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hint="eastAsia" w:ascii="仿宋_GB2312" w:hAnsi="Times New Roman" w:eastAsia="仿宋_GB2312" w:cs="Wingdings"/>
          <w:sz w:val="32"/>
          <w:szCs w:val="32"/>
          <w:lang w:eastAsia="zh-CN"/>
        </w:rPr>
      </w:pPr>
      <w:r>
        <w:rPr>
          <w:rFonts w:hint="eastAsia" w:ascii="仿宋_GB2312" w:hAnsi="Times New Roman" w:eastAsia="仿宋_GB2312" w:cs="Wingdings"/>
          <w:sz w:val="32"/>
          <w:szCs w:val="32"/>
        </w:rPr>
        <w:t>本部门2020年度本年支出合计807</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6</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万元，其中：基本支出376</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95万元，占</w:t>
      </w:r>
      <w:r>
        <w:rPr>
          <w:rFonts w:hint="eastAsia" w:ascii="仿宋_GB2312" w:hAnsi="Times New Roman" w:eastAsia="仿宋_GB2312" w:cs="Wingdings"/>
          <w:sz w:val="32"/>
          <w:szCs w:val="32"/>
          <w:lang w:val="en-US" w:eastAsia="zh-CN"/>
        </w:rPr>
        <w:t>46.67</w:t>
      </w:r>
      <w:r>
        <w:rPr>
          <w:rFonts w:hint="eastAsia" w:ascii="仿宋_GB2312" w:hAnsi="Times New Roman" w:eastAsia="仿宋_GB2312" w:cs="Wingdings"/>
          <w:sz w:val="32"/>
          <w:szCs w:val="32"/>
        </w:rPr>
        <w:t>%；项目支出430</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7</w:t>
      </w:r>
      <w:r>
        <w:rPr>
          <w:rFonts w:hint="eastAsia" w:ascii="仿宋_GB2312" w:hAnsi="Times New Roman" w:eastAsia="仿宋_GB2312" w:cs="Wingdings"/>
          <w:sz w:val="32"/>
          <w:szCs w:val="32"/>
          <w:lang w:val="en-US" w:eastAsia="zh-CN"/>
        </w:rPr>
        <w:t>2</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53.33</w:t>
      </w:r>
      <w:r>
        <w:rPr>
          <w:rFonts w:hint="eastAsia" w:ascii="仿宋_GB2312" w:hAnsi="Times New Roman" w:eastAsia="仿宋_GB2312" w:cs="Wingdings"/>
          <w:sz w:val="32"/>
          <w:szCs w:val="32"/>
        </w:rPr>
        <w:t>%；经营支出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%。如图所示：</w:t>
      </w:r>
    </w:p>
    <w:p>
      <w:pPr>
        <w:keepNext/>
        <w:keepLines/>
        <w:snapToGrid w:val="0"/>
        <w:spacing w:line="600" w:lineRule="exact"/>
        <w:outlineLvl w:val="1"/>
        <w:rPr>
          <w:rFonts w:ascii="黑体" w:hAnsi="Calibri" w:eastAsia="黑体" w:cs="Times New Roman"/>
          <w:b/>
          <w:bCs/>
          <w:sz w:val="32"/>
          <w:szCs w:val="32"/>
        </w:rPr>
      </w:pPr>
      <w:r>
        <w:rPr>
          <w:rFonts w:hint="eastAsia" w:ascii="仿宋_GB2312" w:hAnsi="Times New Roman" w:eastAsia="仿宋_GB2312" w:cs="Wingdings"/>
          <w:sz w:val="32"/>
          <w:szCs w:val="32"/>
          <w:lang w:eastAsia="zh-CN"/>
        </w:rPr>
        <w:drawing>
          <wp:anchor distT="0" distB="0" distL="114300" distR="114300" simplePos="0" relativeHeight="251664384" behindDoc="0" locked="0" layoutInCell="1" allowOverlap="1">
            <wp:simplePos x="0" y="0"/>
            <wp:positionH relativeFrom="column">
              <wp:posOffset>1509395</wp:posOffset>
            </wp:positionH>
            <wp:positionV relativeFrom="paragraph">
              <wp:posOffset>-8919210</wp:posOffset>
            </wp:positionV>
            <wp:extent cx="2003425" cy="1971675"/>
            <wp:effectExtent l="4445" t="4445" r="11430" b="5080"/>
            <wp:wrapTopAndBottom/>
            <wp:docPr id="6" name="图表 6" descr="7b0a202020202263686172745265734964223a202232303436393732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sz w:val="32"/>
        </w:rPr>
        <mc:AlternateContent>
          <mc:Choice Requires="wps">
            <w:drawing>
              <wp:anchor distT="0" distB="0" distL="114300" distR="114300" simplePos="0" relativeHeight="251661312" behindDoc="1" locked="0" layoutInCell="1" allowOverlap="1">
                <wp:simplePos x="0" y="0"/>
                <wp:positionH relativeFrom="column">
                  <wp:posOffset>852805</wp:posOffset>
                </wp:positionH>
                <wp:positionV relativeFrom="paragraph">
                  <wp:posOffset>643890</wp:posOffset>
                </wp:positionV>
                <wp:extent cx="3314065" cy="483235"/>
                <wp:effectExtent l="0" t="0" r="635" b="12065"/>
                <wp:wrapNone/>
                <wp:docPr id="30" name="文本框 30"/>
                <wp:cNvGraphicFramePr/>
                <a:graphic xmlns:a="http://schemas.openxmlformats.org/drawingml/2006/main">
                  <a:graphicData uri="http://schemas.microsoft.com/office/word/2010/wordprocessingShape">
                    <wps:wsp>
                      <wps:cNvSpPr txBox="1"/>
                      <wps:spPr>
                        <a:xfrm>
                          <a:off x="2215515" y="-81280"/>
                          <a:ext cx="3314065" cy="48323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2</w:t>
                            </w:r>
                            <w:r>
                              <w:rPr>
                                <w:rFonts w:hint="eastAsia" w:ascii="仿宋_GB2312" w:hAnsi="Times New Roman" w:eastAsia="仿宋_GB2312" w:cs="Wingdings"/>
                                <w:sz w:val="28"/>
                                <w:szCs w:val="28"/>
                              </w:rPr>
                              <w:t>：支出决算</w:t>
                            </w:r>
                            <w:r>
                              <w:rPr>
                                <w:rFonts w:hint="eastAsia" w:ascii="仿宋_GB2312" w:hAnsi="Times New Roman" w:eastAsia="仿宋_GB2312" w:cs="Wingdings"/>
                                <w:sz w:val="32"/>
                                <w:szCs w:val="32"/>
                                <w:lang w:eastAsia="zh-CN"/>
                              </w:rPr>
                              <w:drawing>
                                <wp:inline distT="0" distB="0" distL="114300" distR="114300">
                                  <wp:extent cx="5080000" cy="3810000"/>
                                  <wp:effectExtent l="0" t="0" r="6350" b="57150"/>
                                  <wp:docPr id="5" name="图表 5" descr="7b0a202020202263686172745265734964223a202232303436393732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ascii="仿宋_GB2312" w:hAnsi="Times New Roman" w:eastAsia="仿宋_GB2312" w:cs="Wingdings"/>
                                <w:sz w:val="28"/>
                                <w:szCs w:val="28"/>
                              </w:rPr>
                              <w:t>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15pt;margin-top:50.7pt;height:38.05pt;width:260.95pt;z-index:-251655168;mso-width-relative:page;mso-height-relative:page;" fillcolor="#FFFFFF" filled="t" stroked="f" coordsize="21600,21600" o:gfxdata="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nLtN3WAAAACwEAAA8AAAAAAAAAAQAgAAAAIgAAAGRycy9kb3ducmV2LnhtbFBLAQIUABQAAAAI&#10;AIdO4kACoHyyYQIAAKoEAAAOAAAAAAAAAAEAIAAAACUBAABkcnMvZTJvRG9jLnhtbFBLBQYAAAAA&#10;BgAGAFkBAAD4BQ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2</w:t>
                      </w:r>
                      <w:r>
                        <w:rPr>
                          <w:rFonts w:hint="eastAsia" w:ascii="仿宋_GB2312" w:hAnsi="Times New Roman" w:eastAsia="仿宋_GB2312" w:cs="Wingdings"/>
                          <w:sz w:val="28"/>
                          <w:szCs w:val="28"/>
                        </w:rPr>
                        <w:t>：支出决算</w:t>
                      </w:r>
                      <w:r>
                        <w:rPr>
                          <w:rFonts w:hint="eastAsia" w:ascii="仿宋_GB2312" w:hAnsi="Times New Roman" w:eastAsia="仿宋_GB2312" w:cs="Wingdings"/>
                          <w:sz w:val="32"/>
                          <w:szCs w:val="32"/>
                          <w:lang w:eastAsia="zh-CN"/>
                        </w:rPr>
                        <w:drawing>
                          <wp:inline distT="0" distB="0" distL="114300" distR="114300">
                            <wp:extent cx="5080000" cy="3810000"/>
                            <wp:effectExtent l="0" t="0" r="6350" b="57150"/>
                            <wp:docPr id="5" name="图表 5" descr="7b0a202020202263686172745265734964223a202232303436393732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ascii="仿宋_GB2312" w:hAnsi="Times New Roman" w:eastAsia="仿宋_GB2312" w:cs="Wingdings"/>
                          <w:sz w:val="28"/>
                          <w:szCs w:val="28"/>
                        </w:rPr>
                        <w:t>构成情况（按支出性质）</w:t>
                      </w:r>
                    </w:p>
                    <w:p>
                      <w:pPr>
                        <w:spacing w:after="160" w:line="480" w:lineRule="auto"/>
                        <w:rPr>
                          <w:rFonts w:ascii="Times New Roman" w:hAnsi="Times New Roman" w:eastAsia="宋体" w:cs="Times New Roman"/>
                          <w:sz w:val="20"/>
                        </w:rPr>
                      </w:pPr>
                    </w:p>
                  </w:txbxContent>
                </v:textbox>
              </v:shape>
            </w:pict>
          </mc:Fallback>
        </mc:AlternateConten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本部门2020年度财政拨款收支均为一般公共预算财政拨款，其中本年收入</w:t>
      </w:r>
      <w:r>
        <w:rPr>
          <w:rFonts w:hint="eastAsia" w:ascii="仿宋_GB2312" w:hAnsi="Times New Roman" w:eastAsia="仿宋_GB2312" w:cs="Wingdings"/>
          <w:sz w:val="32"/>
          <w:szCs w:val="32"/>
          <w:lang w:val="en-US" w:eastAsia="zh-CN"/>
        </w:rPr>
        <w:t>1012.57</w:t>
      </w:r>
      <w:r>
        <w:rPr>
          <w:rFonts w:hint="eastAsia" w:ascii="仿宋_GB2312" w:hAnsi="Times New Roman" w:eastAsia="仿宋_GB2312" w:cs="Wingdings"/>
          <w:sz w:val="32"/>
          <w:szCs w:val="32"/>
        </w:rPr>
        <w:t>万元,比2019年度减少</w:t>
      </w:r>
      <w:r>
        <w:rPr>
          <w:rFonts w:hint="eastAsia" w:ascii="仿宋_GB2312" w:hAnsi="Times New Roman" w:eastAsia="仿宋_GB2312" w:cs="Wingdings"/>
          <w:sz w:val="32"/>
          <w:szCs w:val="32"/>
          <w:lang w:val="en-US" w:eastAsia="zh-CN"/>
        </w:rPr>
        <w:t>2332.63</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69.54</w:t>
      </w:r>
      <w:r>
        <w:rPr>
          <w:rFonts w:hint="eastAsia" w:ascii="仿宋_GB2312" w:hAnsi="Times New Roman" w:eastAsia="仿宋_GB2312" w:cs="Wingdings"/>
          <w:sz w:val="32"/>
          <w:szCs w:val="32"/>
        </w:rPr>
        <w:t>%，主要是</w:t>
      </w:r>
      <w:r>
        <w:rPr>
          <w:rFonts w:hint="eastAsia" w:ascii="仿宋_GB2312" w:hAnsi="Times New Roman" w:eastAsia="仿宋_GB2312" w:cs="DengXian-Regular"/>
          <w:sz w:val="32"/>
          <w:szCs w:val="32"/>
        </w:rPr>
        <w:t>响应国家号召，减少开支</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1012.57</w:t>
      </w:r>
      <w:r>
        <w:rPr>
          <w:rFonts w:hint="eastAsia" w:ascii="仿宋_GB2312" w:hAnsi="Times New Roman" w:eastAsia="仿宋_GB2312" w:cs="Wingdings"/>
          <w:sz w:val="32"/>
          <w:szCs w:val="32"/>
        </w:rPr>
        <w:t>万元，减少</w:t>
      </w:r>
      <w:r>
        <w:rPr>
          <w:rFonts w:hint="eastAsia" w:ascii="仿宋_GB2312" w:hAnsi="Times New Roman" w:eastAsia="仿宋_GB2312" w:cs="Wingdings"/>
          <w:sz w:val="32"/>
          <w:szCs w:val="32"/>
          <w:lang w:val="en-US" w:eastAsia="zh-CN"/>
        </w:rPr>
        <w:t>3451.80</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77.32</w:t>
      </w:r>
      <w:r>
        <w:rPr>
          <w:rFonts w:hint="eastAsia" w:ascii="仿宋_GB2312" w:hAnsi="Times New Roman" w:eastAsia="仿宋_GB2312" w:cs="Wingdings"/>
          <w:sz w:val="32"/>
          <w:szCs w:val="32"/>
        </w:rPr>
        <w:t>%，主要是主要是</w:t>
      </w:r>
      <w:r>
        <w:rPr>
          <w:rFonts w:hint="eastAsia" w:ascii="仿宋_GB2312" w:hAnsi="Times New Roman" w:eastAsia="仿宋_GB2312" w:cs="DengXian-Regular"/>
          <w:sz w:val="32"/>
          <w:szCs w:val="32"/>
        </w:rPr>
        <w:t>响应国家号召，减少开支</w:t>
      </w:r>
      <w:r>
        <w:rPr>
          <w:rFonts w:hint="eastAsia" w:ascii="仿宋_GB2312" w:hAnsi="Times New Roman" w:eastAsia="仿宋_GB2312" w:cs="Wingdings"/>
          <w:sz w:val="32"/>
          <w:szCs w:val="32"/>
        </w:rPr>
        <w:t>。</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lang w:eastAsia="zh-CN"/>
        </w:rPr>
        <w:drawing>
          <wp:anchor distT="0" distB="0" distL="114300" distR="114300" simplePos="0" relativeHeight="251665408" behindDoc="0" locked="0" layoutInCell="1" allowOverlap="1">
            <wp:simplePos x="0" y="0"/>
            <wp:positionH relativeFrom="column">
              <wp:posOffset>401955</wp:posOffset>
            </wp:positionH>
            <wp:positionV relativeFrom="paragraph">
              <wp:posOffset>203835</wp:posOffset>
            </wp:positionV>
            <wp:extent cx="4603115" cy="2209800"/>
            <wp:effectExtent l="4445" t="4445" r="21590"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本部门2020年度一般公共预算财政拨款收入1012</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5</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94.41</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59.95</w:t>
      </w:r>
      <w:r>
        <w:rPr>
          <w:rFonts w:hint="eastAsia" w:ascii="仿宋_GB2312" w:hAnsi="Times New Roman" w:eastAsia="仿宋_GB2312" w:cs="Wingdings"/>
          <w:sz w:val="32"/>
          <w:szCs w:val="32"/>
        </w:rPr>
        <w:t>万元，决算数小于预算数主要原因是</w:t>
      </w:r>
      <w:r>
        <w:rPr>
          <w:rFonts w:hint="eastAsia" w:ascii="仿宋_GB2312" w:hAnsi="Times New Roman" w:eastAsia="仿宋_GB2312" w:cs="DengXian-Regular"/>
          <w:sz w:val="32"/>
          <w:szCs w:val="32"/>
        </w:rPr>
        <w:t>响应国家号召，减少开支</w:t>
      </w:r>
      <w:r>
        <w:rPr>
          <w:rFonts w:hint="eastAsia" w:ascii="仿宋_GB2312" w:hAnsi="Times New Roman" w:eastAsia="仿宋_GB2312" w:cs="Wingdings"/>
          <w:sz w:val="32"/>
          <w:szCs w:val="32"/>
        </w:rPr>
        <w:t>；本年支出807</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6</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75.31</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264.85</w:t>
      </w:r>
      <w:r>
        <w:rPr>
          <w:rFonts w:hint="eastAsia" w:ascii="仿宋_GB2312" w:hAnsi="Times New Roman" w:eastAsia="仿宋_GB2312" w:cs="Wingdings"/>
          <w:sz w:val="32"/>
          <w:szCs w:val="32"/>
        </w:rPr>
        <w:t>万元，决算数小于预算数主要原因主要是</w:t>
      </w:r>
      <w:r>
        <w:rPr>
          <w:rFonts w:hint="eastAsia" w:ascii="仿宋_GB2312" w:hAnsi="Times New Roman" w:eastAsia="仿宋_GB2312" w:cs="DengXian-Regular"/>
          <w:sz w:val="32"/>
          <w:szCs w:val="32"/>
        </w:rPr>
        <w:t>响应国家号召，减少开支</w:t>
      </w:r>
      <w:r>
        <w:rPr>
          <w:rFonts w:hint="eastAsia" w:ascii="仿宋_GB2312" w:hAnsi="Times New Roman" w:eastAsia="仿宋_GB2312" w:cs="Wingdings"/>
          <w:sz w:val="32"/>
          <w:szCs w:val="32"/>
        </w:rPr>
        <w:t>。</w:t>
      </w:r>
    </w:p>
    <w:p>
      <w:pPr>
        <w:numPr>
          <w:ilvl w:val="0"/>
          <w:numId w:val="2"/>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仿宋_GB2312" w:hAnsi="Times New Roman" w:eastAsia="仿宋_GB2312" w:cs="Wingdings"/>
          <w:sz w:val="32"/>
          <w:szCs w:val="32"/>
          <w:lang w:eastAsia="zh-CN"/>
        </w:rPr>
        <w:drawing>
          <wp:anchor distT="0" distB="0" distL="114300" distR="114300" simplePos="0" relativeHeight="251666432" behindDoc="0" locked="0" layoutInCell="1" allowOverlap="1">
            <wp:simplePos x="0" y="0"/>
            <wp:positionH relativeFrom="column">
              <wp:posOffset>1087120</wp:posOffset>
            </wp:positionH>
            <wp:positionV relativeFrom="paragraph">
              <wp:posOffset>60960</wp:posOffset>
            </wp:positionV>
            <wp:extent cx="3632835" cy="2514600"/>
            <wp:effectExtent l="4445" t="4445" r="20320"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r>
        <w:rPr>
          <w:rFonts w:hint="eastAsia" w:ascii="仿宋_GB2312" w:hAnsi="Times New Roman" w:eastAsia="仿宋_GB2312" w:cs="Wingdings"/>
          <w:sz w:val="32"/>
          <w:szCs w:val="32"/>
        </w:rPr>
        <w:t>2020 年度财政拨款支出</w:t>
      </w:r>
      <w:r>
        <w:rPr>
          <w:rFonts w:hint="eastAsia" w:ascii="仿宋_GB2312" w:hAnsi="Times New Roman" w:eastAsia="仿宋_GB2312" w:cs="Wingdings"/>
          <w:sz w:val="32"/>
          <w:szCs w:val="32"/>
          <w:lang w:val="en-US" w:eastAsia="zh-CN"/>
        </w:rPr>
        <w:t>1012.57</w:t>
      </w:r>
      <w:r>
        <w:rPr>
          <w:rFonts w:hint="eastAsia" w:ascii="仿宋_GB2312" w:hAnsi="Times New Roman" w:eastAsia="仿宋_GB2312" w:cs="Wingdings"/>
          <w:sz w:val="32"/>
          <w:szCs w:val="32"/>
        </w:rPr>
        <w:t>万元，主要用于以下方面：</w:t>
      </w:r>
      <w:r>
        <w:rPr>
          <w:rFonts w:hint="eastAsia" w:ascii="仿宋_GB2312" w:hAnsi="Times New Roman" w:eastAsia="仿宋_GB2312" w:cs="Wingdings"/>
          <w:sz w:val="32"/>
          <w:szCs w:val="32"/>
          <w:lang w:eastAsia="zh-CN"/>
        </w:rPr>
        <w:t>节能环保（类）支出</w:t>
      </w:r>
      <w:r>
        <w:rPr>
          <w:rFonts w:hint="eastAsia" w:ascii="仿宋_GB2312" w:hAnsi="Times New Roman" w:eastAsia="仿宋_GB2312" w:cs="Wingdings"/>
          <w:sz w:val="32"/>
          <w:szCs w:val="32"/>
          <w:lang w:val="en-US" w:eastAsia="zh-CN"/>
        </w:rPr>
        <w:t>58.68万元；农林水（类）支出738.05万元；灾害防治及应急管理（类）支出10.94万元；年末结转结余支出204.9万元。</w:t>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r>
        <w:rPr>
          <w:rFonts w:hint="eastAsia" w:ascii="仿宋_GB2312" w:hAnsi="Times New Roman" w:eastAsia="仿宋_GB2312" w:cs="Wingdings"/>
          <w:sz w:val="32"/>
          <w:szCs w:val="32"/>
          <w:lang w:val="en-US" w:eastAsia="zh-CN"/>
        </w:rPr>
        <w:drawing>
          <wp:anchor distT="0" distB="0" distL="114300" distR="114300" simplePos="0" relativeHeight="251667456" behindDoc="0" locked="0" layoutInCell="1" allowOverlap="1">
            <wp:simplePos x="0" y="0"/>
            <wp:positionH relativeFrom="column">
              <wp:posOffset>363220</wp:posOffset>
            </wp:positionH>
            <wp:positionV relativeFrom="paragraph">
              <wp:posOffset>99695</wp:posOffset>
            </wp:positionV>
            <wp:extent cx="4643120" cy="1934845"/>
            <wp:effectExtent l="4445" t="4445" r="19685" b="228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r>
        <w:rPr>
          <w:sz w:val="32"/>
        </w:rPr>
        <mc:AlternateContent>
          <mc:Choice Requires="wps">
            <w:drawing>
              <wp:anchor distT="0" distB="0" distL="114300" distR="114300" simplePos="0" relativeHeight="251661312" behindDoc="1" locked="0" layoutInCell="1" allowOverlap="1">
                <wp:simplePos x="0" y="0"/>
                <wp:positionH relativeFrom="column">
                  <wp:posOffset>962025</wp:posOffset>
                </wp:positionH>
                <wp:positionV relativeFrom="paragraph">
                  <wp:posOffset>123190</wp:posOffset>
                </wp:positionV>
                <wp:extent cx="3576320" cy="391795"/>
                <wp:effectExtent l="0" t="0" r="5080" b="8255"/>
                <wp:wrapNone/>
                <wp:docPr id="164" name="文本框 32"/>
                <wp:cNvGraphicFramePr/>
                <a:graphic xmlns:a="http://schemas.openxmlformats.org/drawingml/2006/main">
                  <a:graphicData uri="http://schemas.microsoft.com/office/word/2010/wordprocessingShape">
                    <wps:wsp>
                      <wps:cNvSpPr txBox="1"/>
                      <wps:spPr>
                        <a:xfrm>
                          <a:off x="1934210" y="8618220"/>
                          <a:ext cx="3576320" cy="39179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图X：财政拨款支出决算结构（按功能分类）</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75.75pt;margin-top:9.7pt;height:30.85pt;width:281.6pt;z-index:-251655168;mso-width-relative:page;mso-height-relative:page;" fillcolor="#FFFFFF" filled="t" stroked="f" coordsize="21600,21600" o:gfxdata="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Gr8ctQAAAAJAQAADwAAAAAAAAABACAAAAAiAAAAZHJzL2Rvd25yZXYueG1sUEsBAhQAFAAAAAgA&#10;h07iQK8t64ZiAgAArAQAAA4AAAAAAAAAAQAgAAAAIwEAAGRycy9lMm9Eb2MueG1sUEsFBgAAAAAG&#10;AAYAWQEAAPcFA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图X：财政拨款支出决算结构（按功能分类）</w:t>
                      </w:r>
                    </w:p>
                    <w:p>
                      <w:pPr>
                        <w:spacing w:after="160" w:line="480" w:lineRule="auto"/>
                        <w:rPr>
                          <w:rFonts w:ascii="Times New Roman" w:hAnsi="Times New Roman" w:eastAsia="宋体" w:cs="Times New Roman"/>
                          <w:sz w:val="20"/>
                        </w:rPr>
                      </w:pPr>
                    </w:p>
                  </w:txbxContent>
                </v:textbox>
              </v:shape>
            </w:pict>
          </mc:Fallback>
        </mc:AlternateContent>
      </w:r>
    </w:p>
    <w:p>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年度财政拨款基本支出376</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95万元，其中：人员经费357</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48万元，主要包括基本工资</w:t>
      </w:r>
      <w:r>
        <w:rPr>
          <w:rFonts w:hint="eastAsia" w:ascii="仿宋_GB2312" w:hAnsi="Times New Roman" w:eastAsia="仿宋_GB2312" w:cs="Wingdings"/>
          <w:sz w:val="32"/>
          <w:szCs w:val="32"/>
          <w:lang w:val="en-US" w:eastAsia="zh-CN"/>
        </w:rPr>
        <w:t>129.97</w:t>
      </w:r>
      <w:r>
        <w:rPr>
          <w:rFonts w:hint="eastAsia" w:ascii="仿宋_GB2312" w:hAnsi="Times New Roman" w:eastAsia="仿宋_GB2312" w:cs="Wingdings"/>
          <w:sz w:val="32"/>
          <w:szCs w:val="32"/>
        </w:rPr>
        <w:t>、津贴补贴</w:t>
      </w:r>
      <w:r>
        <w:rPr>
          <w:rFonts w:hint="eastAsia" w:ascii="仿宋_GB2312" w:hAnsi="Times New Roman" w:eastAsia="仿宋_GB2312" w:cs="Wingdings"/>
          <w:sz w:val="32"/>
          <w:szCs w:val="32"/>
          <w:lang w:val="en-US" w:eastAsia="zh-CN"/>
        </w:rPr>
        <w:t>41.07</w:t>
      </w:r>
      <w:r>
        <w:rPr>
          <w:rFonts w:hint="eastAsia" w:ascii="仿宋_GB2312" w:hAnsi="Times New Roman" w:eastAsia="仿宋_GB2312" w:cs="Wingdings"/>
          <w:sz w:val="32"/>
          <w:szCs w:val="32"/>
        </w:rPr>
        <w:t>、奖金</w:t>
      </w:r>
      <w:r>
        <w:rPr>
          <w:rFonts w:hint="eastAsia" w:ascii="仿宋_GB2312" w:hAnsi="Times New Roman" w:eastAsia="仿宋_GB2312" w:cs="Wingdings"/>
          <w:sz w:val="32"/>
          <w:szCs w:val="32"/>
          <w:lang w:val="en-US" w:eastAsia="zh-CN"/>
        </w:rPr>
        <w:t>14.35</w:t>
      </w:r>
      <w:r>
        <w:rPr>
          <w:rFonts w:hint="eastAsia" w:ascii="仿宋_GB2312" w:hAnsi="Times New Roman" w:eastAsia="仿宋_GB2312" w:cs="Wingdings"/>
          <w:sz w:val="32"/>
          <w:szCs w:val="32"/>
        </w:rPr>
        <w:t>、绩效工资</w:t>
      </w:r>
      <w:r>
        <w:rPr>
          <w:rFonts w:hint="eastAsia" w:ascii="仿宋_GB2312" w:hAnsi="Times New Roman" w:eastAsia="仿宋_GB2312" w:cs="Wingdings"/>
          <w:sz w:val="32"/>
          <w:szCs w:val="32"/>
          <w:lang w:val="en-US" w:eastAsia="zh-CN"/>
        </w:rPr>
        <w:t>37.84</w:t>
      </w:r>
      <w:r>
        <w:rPr>
          <w:rFonts w:hint="eastAsia" w:ascii="仿宋_GB2312" w:hAnsi="Times New Roman" w:eastAsia="仿宋_GB2312" w:cs="Wingdings"/>
          <w:sz w:val="32"/>
          <w:szCs w:val="32"/>
        </w:rPr>
        <w:t>、机关事业单位基本养老保险缴费</w:t>
      </w:r>
      <w:r>
        <w:rPr>
          <w:rFonts w:hint="eastAsia" w:ascii="仿宋_GB2312" w:hAnsi="Times New Roman" w:eastAsia="仿宋_GB2312" w:cs="Wingdings"/>
          <w:sz w:val="32"/>
          <w:szCs w:val="32"/>
          <w:lang w:val="en-US" w:eastAsia="zh-CN"/>
        </w:rPr>
        <w:t>25.09</w:t>
      </w:r>
      <w:r>
        <w:rPr>
          <w:rFonts w:hint="eastAsia" w:ascii="仿宋_GB2312" w:hAnsi="Times New Roman" w:eastAsia="仿宋_GB2312" w:cs="Wingdings"/>
          <w:sz w:val="32"/>
          <w:szCs w:val="32"/>
        </w:rPr>
        <w:t>、职工基本医疗保险缴费</w:t>
      </w:r>
      <w:r>
        <w:rPr>
          <w:rFonts w:hint="eastAsia" w:ascii="仿宋_GB2312" w:hAnsi="Times New Roman" w:eastAsia="仿宋_GB2312" w:cs="Wingdings"/>
          <w:sz w:val="32"/>
          <w:szCs w:val="32"/>
          <w:lang w:val="en-US" w:eastAsia="zh-CN"/>
        </w:rPr>
        <w:t>13.15</w:t>
      </w:r>
      <w:r>
        <w:rPr>
          <w:rFonts w:hint="eastAsia" w:ascii="仿宋_GB2312" w:hAnsi="Times New Roman" w:eastAsia="仿宋_GB2312" w:cs="Wingdings"/>
          <w:sz w:val="32"/>
          <w:szCs w:val="32"/>
        </w:rPr>
        <w:t>、住房公积金</w:t>
      </w:r>
      <w:r>
        <w:rPr>
          <w:rFonts w:hint="eastAsia" w:ascii="仿宋_GB2312" w:hAnsi="Times New Roman" w:eastAsia="仿宋_GB2312" w:cs="Wingdings"/>
          <w:sz w:val="32"/>
          <w:szCs w:val="32"/>
          <w:lang w:val="en-US" w:eastAsia="zh-CN"/>
        </w:rPr>
        <w:t>13.48</w:t>
      </w:r>
      <w:r>
        <w:rPr>
          <w:rFonts w:hint="eastAsia" w:ascii="仿宋_GB2312" w:hAnsi="Times New Roman" w:eastAsia="仿宋_GB2312" w:cs="Wingdings"/>
          <w:sz w:val="32"/>
          <w:szCs w:val="32"/>
        </w:rPr>
        <w:t>、其他社会保障缴费</w:t>
      </w:r>
      <w:r>
        <w:rPr>
          <w:rFonts w:hint="eastAsia" w:ascii="仿宋_GB2312" w:hAnsi="Times New Roman" w:eastAsia="仿宋_GB2312" w:cs="Wingdings"/>
          <w:sz w:val="32"/>
          <w:szCs w:val="32"/>
          <w:lang w:val="en-US" w:eastAsia="zh-CN"/>
        </w:rPr>
        <w:t>0.77</w:t>
      </w:r>
      <w:r>
        <w:rPr>
          <w:rFonts w:hint="eastAsia" w:ascii="仿宋_GB2312" w:hAnsi="Times New Roman" w:eastAsia="仿宋_GB2312" w:cs="Wingdings"/>
          <w:sz w:val="32"/>
          <w:szCs w:val="32"/>
        </w:rPr>
        <w:t>、其他工资福利支出</w:t>
      </w:r>
      <w:r>
        <w:rPr>
          <w:rFonts w:hint="eastAsia" w:ascii="仿宋_GB2312" w:hAnsi="Times New Roman" w:eastAsia="仿宋_GB2312" w:cs="Wingdings"/>
          <w:sz w:val="32"/>
          <w:szCs w:val="32"/>
          <w:lang w:val="en-US" w:eastAsia="zh-CN"/>
        </w:rPr>
        <w:t>81.76</w:t>
      </w:r>
      <w:r>
        <w:rPr>
          <w:rFonts w:hint="eastAsia" w:ascii="仿宋_GB2312" w:hAnsi="Times New Roman" w:eastAsia="仿宋_GB2312" w:cs="Wingdings"/>
          <w:sz w:val="32"/>
          <w:szCs w:val="32"/>
        </w:rPr>
        <w:t>；公用经费19</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4</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万元，主要包括办公费</w:t>
      </w:r>
      <w:r>
        <w:rPr>
          <w:rFonts w:hint="eastAsia" w:ascii="仿宋_GB2312" w:hAnsi="Times New Roman" w:eastAsia="仿宋_GB2312" w:cs="Wingdings"/>
          <w:sz w:val="32"/>
          <w:szCs w:val="32"/>
          <w:lang w:val="en-US" w:eastAsia="zh-CN"/>
        </w:rPr>
        <w:t>3.2</w:t>
      </w:r>
      <w:r>
        <w:rPr>
          <w:rFonts w:hint="eastAsia" w:ascii="仿宋_GB2312" w:hAnsi="Times New Roman" w:eastAsia="仿宋_GB2312" w:cs="Wingdings"/>
          <w:sz w:val="32"/>
          <w:szCs w:val="32"/>
        </w:rPr>
        <w:t>、咨询费</w:t>
      </w:r>
      <w:r>
        <w:rPr>
          <w:rFonts w:hint="eastAsia" w:ascii="仿宋_GB2312" w:hAnsi="Times New Roman" w:eastAsia="仿宋_GB2312" w:cs="Wingdings"/>
          <w:sz w:val="32"/>
          <w:szCs w:val="32"/>
          <w:lang w:val="en-US" w:eastAsia="zh-CN"/>
        </w:rPr>
        <w:t>0.25</w:t>
      </w:r>
      <w:r>
        <w:rPr>
          <w:rFonts w:hint="eastAsia" w:ascii="仿宋_GB2312" w:hAnsi="Times New Roman" w:eastAsia="仿宋_GB2312" w:cs="Wingdings"/>
          <w:sz w:val="32"/>
          <w:szCs w:val="32"/>
        </w:rPr>
        <w:t>、水费</w:t>
      </w:r>
      <w:r>
        <w:rPr>
          <w:rFonts w:hint="eastAsia" w:ascii="仿宋_GB2312" w:hAnsi="Times New Roman" w:eastAsia="仿宋_GB2312" w:cs="Wingdings"/>
          <w:sz w:val="32"/>
          <w:szCs w:val="32"/>
          <w:lang w:val="en-US" w:eastAsia="zh-CN"/>
        </w:rPr>
        <w:t>0.2</w:t>
      </w:r>
      <w:r>
        <w:rPr>
          <w:rFonts w:hint="eastAsia" w:ascii="仿宋_GB2312" w:hAnsi="Times New Roman" w:eastAsia="仿宋_GB2312" w:cs="Wingdings"/>
          <w:sz w:val="32"/>
          <w:szCs w:val="32"/>
        </w:rPr>
        <w:t>、邮电费</w:t>
      </w:r>
      <w:r>
        <w:rPr>
          <w:rFonts w:hint="eastAsia" w:ascii="仿宋_GB2312" w:hAnsi="Times New Roman" w:eastAsia="仿宋_GB2312" w:cs="Wingdings"/>
          <w:sz w:val="32"/>
          <w:szCs w:val="32"/>
          <w:lang w:val="en-US" w:eastAsia="zh-CN"/>
        </w:rPr>
        <w:t>1.9</w:t>
      </w:r>
      <w:r>
        <w:rPr>
          <w:rFonts w:hint="eastAsia" w:ascii="仿宋_GB2312" w:hAnsi="Times New Roman" w:eastAsia="仿宋_GB2312" w:cs="Wingdings"/>
          <w:sz w:val="32"/>
          <w:szCs w:val="32"/>
        </w:rPr>
        <w:t>、差旅费</w:t>
      </w:r>
      <w:r>
        <w:rPr>
          <w:rFonts w:hint="eastAsia" w:ascii="仿宋_GB2312" w:hAnsi="Times New Roman" w:eastAsia="仿宋_GB2312" w:cs="Wingdings"/>
          <w:sz w:val="32"/>
          <w:szCs w:val="32"/>
          <w:lang w:val="en-US" w:eastAsia="zh-CN"/>
        </w:rPr>
        <w:t>1.84</w:t>
      </w:r>
      <w:r>
        <w:rPr>
          <w:rFonts w:hint="eastAsia" w:ascii="仿宋_GB2312" w:hAnsi="Times New Roman" w:eastAsia="仿宋_GB2312" w:cs="Wingdings"/>
          <w:sz w:val="32"/>
          <w:szCs w:val="32"/>
        </w:rPr>
        <w:t>、会议费</w:t>
      </w:r>
      <w:r>
        <w:rPr>
          <w:rFonts w:hint="eastAsia" w:ascii="仿宋_GB2312" w:hAnsi="Times New Roman" w:eastAsia="仿宋_GB2312" w:cs="Wingdings"/>
          <w:sz w:val="32"/>
          <w:szCs w:val="32"/>
          <w:lang w:val="en-US" w:eastAsia="zh-CN"/>
        </w:rPr>
        <w:t>0.14</w:t>
      </w:r>
      <w:r>
        <w:rPr>
          <w:rFonts w:hint="eastAsia" w:ascii="仿宋_GB2312" w:hAnsi="Times New Roman" w:eastAsia="仿宋_GB2312" w:cs="Wingdings"/>
          <w:sz w:val="32"/>
          <w:szCs w:val="32"/>
        </w:rPr>
        <w:t>、工会经费</w:t>
      </w:r>
      <w:r>
        <w:rPr>
          <w:rFonts w:hint="eastAsia" w:ascii="仿宋_GB2312" w:hAnsi="Times New Roman" w:eastAsia="仿宋_GB2312" w:cs="Wingdings"/>
          <w:sz w:val="32"/>
          <w:szCs w:val="32"/>
          <w:lang w:val="en-US" w:eastAsia="zh-CN"/>
        </w:rPr>
        <w:t>2.07</w:t>
      </w:r>
      <w:r>
        <w:rPr>
          <w:rFonts w:hint="eastAsia" w:ascii="仿宋_GB2312" w:hAnsi="Times New Roman" w:eastAsia="仿宋_GB2312" w:cs="Wingdings"/>
          <w:sz w:val="32"/>
          <w:szCs w:val="32"/>
        </w:rPr>
        <w:t>、福利费</w:t>
      </w:r>
      <w:r>
        <w:rPr>
          <w:rFonts w:hint="eastAsia" w:ascii="仿宋_GB2312" w:hAnsi="Times New Roman" w:eastAsia="仿宋_GB2312" w:cs="Wingdings"/>
          <w:sz w:val="32"/>
          <w:szCs w:val="32"/>
          <w:lang w:val="en-US" w:eastAsia="zh-CN"/>
        </w:rPr>
        <w:t>1.42</w:t>
      </w:r>
      <w:r>
        <w:rPr>
          <w:rFonts w:hint="eastAsia" w:ascii="仿宋_GB2312" w:hAnsi="Times New Roman" w:eastAsia="仿宋_GB2312" w:cs="Wingdings"/>
          <w:sz w:val="32"/>
          <w:szCs w:val="32"/>
        </w:rPr>
        <w:t>、其他交通费用</w:t>
      </w:r>
      <w:r>
        <w:rPr>
          <w:rFonts w:hint="eastAsia" w:ascii="仿宋_GB2312" w:hAnsi="Times New Roman" w:eastAsia="仿宋_GB2312" w:cs="Wingdings"/>
          <w:sz w:val="32"/>
          <w:szCs w:val="32"/>
          <w:lang w:val="en-US" w:eastAsia="zh-CN"/>
        </w:rPr>
        <w:t>7.9</w:t>
      </w:r>
      <w:r>
        <w:rPr>
          <w:rFonts w:hint="eastAsia" w:ascii="仿宋_GB2312" w:hAnsi="Times New Roman" w:eastAsia="仿宋_GB2312" w:cs="Wingdings"/>
          <w:sz w:val="32"/>
          <w:szCs w:val="32"/>
        </w:rPr>
        <w:t>、其他商品和服务支出</w:t>
      </w:r>
      <w:r>
        <w:rPr>
          <w:rFonts w:hint="eastAsia" w:ascii="仿宋_GB2312" w:hAnsi="Times New Roman" w:eastAsia="仿宋_GB2312" w:cs="Wingdings"/>
          <w:sz w:val="32"/>
          <w:szCs w:val="32"/>
          <w:lang w:val="en-US" w:eastAsia="zh-CN"/>
        </w:rPr>
        <w:t>0.074</w:t>
      </w:r>
      <w:r>
        <w:rPr>
          <w:rFonts w:hint="eastAsia" w:ascii="仿宋_GB2312" w:hAnsi="Times New Roman" w:eastAsia="仿宋_GB2312" w:cs="Wingdings"/>
          <w:sz w:val="32"/>
          <w:szCs w:val="32"/>
        </w:rPr>
        <w:t>、办公设备购置</w:t>
      </w:r>
      <w:r>
        <w:rPr>
          <w:rFonts w:hint="eastAsia" w:ascii="仿宋_GB2312" w:hAnsi="Times New Roman" w:eastAsia="仿宋_GB2312" w:cs="Wingdings"/>
          <w:sz w:val="32"/>
          <w:szCs w:val="32"/>
          <w:lang w:val="en-US" w:eastAsia="zh-CN"/>
        </w:rPr>
        <w:t>0.48</w:t>
      </w:r>
      <w:r>
        <w:rPr>
          <w:rFonts w:hint="eastAsia" w:ascii="仿宋_GB2312" w:hAnsi="Times New Roman" w:eastAsia="仿宋_GB2312" w:cs="Wingdings"/>
          <w:sz w:val="32"/>
          <w:szCs w:val="32"/>
        </w:rPr>
        <w:t>。</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万元，支出决算为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元，完成预算的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%,较预算增加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rPr>
        <w:t>认真贯彻落实中央</w:t>
      </w:r>
      <w:bookmarkStart w:id="0" w:name="_GoBack"/>
      <w:bookmarkEnd w:id="0"/>
      <w:r>
        <w:rPr>
          <w:rFonts w:hint="eastAsia" w:ascii="仿宋_GB2312" w:hAnsi="Times New Roman" w:eastAsia="仿宋_GB2312" w:cs="Wingdings"/>
          <w:sz w:val="32"/>
          <w:szCs w:val="32"/>
        </w:rPr>
        <w:t>八项规定精神和厉行节约要求，从严控制“三公”经费开支，全年实际支出比预算有所节约；较2019年度增加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r>
        <w:rPr>
          <w:rFonts w:hint="eastAsia" w:ascii="仿宋_GB2312" w:eastAsia="仿宋_GB2312"/>
          <w:sz w:val="32"/>
          <w:szCs w:val="32"/>
        </w:rPr>
        <w:t>主要原因是严格控制经费支出</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ascii="仿宋_GB2312" w:hAnsi="Times New Roman" w:eastAsia="仿宋_GB2312" w:cs="Wingdings"/>
          <w:color w:val="auto"/>
          <w:sz w:val="32"/>
          <w:szCs w:val="32"/>
          <w:highlight w:val="none"/>
        </w:rPr>
      </w:pPr>
      <w:r>
        <w:rPr>
          <w:rFonts w:hint="eastAsia" w:ascii="楷体_GB2312" w:hAnsi="Times New Roman" w:eastAsia="楷体_GB2312" w:cs="Mongolian Baiti"/>
          <w:b/>
          <w:bCs/>
          <w:sz w:val="32"/>
          <w:szCs w:val="32"/>
        </w:rPr>
        <w:t>1.因公出国（境）费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rPr>
        <w:t>本部门2020</w:t>
      </w:r>
      <w:r>
        <w:rPr>
          <w:rFonts w:hint="eastAsia" w:ascii="仿宋_GB2312" w:hAnsi="仿宋_GB2312" w:eastAsia="仿宋_GB2312" w:cs="仿宋_GB2312"/>
          <w:b w:val="0"/>
          <w:bCs w:val="0"/>
          <w:sz w:val="32"/>
          <w:szCs w:val="32"/>
          <w:lang w:val="en-US" w:eastAsia="zh-CN"/>
        </w:rPr>
        <w:t>年因公出国（境）费</w:t>
      </w:r>
      <w:r>
        <w:rPr>
          <w:rFonts w:hint="eastAsia" w:ascii="仿宋_GB2312" w:hAnsi="仿宋_GB2312" w:eastAsia="仿宋_GB2312" w:cs="仿宋_GB2312"/>
          <w:b w:val="0"/>
          <w:bCs w:val="0"/>
          <w:sz w:val="32"/>
          <w:szCs w:val="32"/>
        </w:rPr>
        <w:t>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万元，完成预算的</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w:t>
      </w:r>
      <w:r>
        <w:rPr>
          <w:rFonts w:hint="eastAsia" w:ascii="仿宋_GB2312" w:hAnsi="Times New Roman" w:eastAsia="仿宋_GB2312" w:cs="Wingdings"/>
          <w:sz w:val="32"/>
          <w:szCs w:val="32"/>
        </w:rPr>
        <w:t>因公出国（境）团组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个、共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人、参加其他单位组织的因公出国（境）团组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个、共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人/无本单位组织的出国（境）团组。因公出国（境）费支出较预算</w:t>
      </w:r>
      <w:r>
        <w:rPr>
          <w:rFonts w:hint="eastAsia" w:ascii="仿宋_GB2312" w:hAnsi="Times New Roman" w:eastAsia="仿宋_GB2312" w:cs="Wingdings"/>
          <w:color w:val="auto"/>
          <w:sz w:val="32"/>
          <w:szCs w:val="32"/>
          <w:highlight w:val="none"/>
          <w:lang w:val="en-US" w:eastAsia="zh-CN"/>
        </w:rPr>
        <w:t>持平,</w:t>
      </w:r>
      <w:r>
        <w:rPr>
          <w:rFonts w:hint="eastAsia" w:ascii="仿宋_GB2312" w:hAnsi="Times New Roman" w:eastAsia="仿宋_GB2312" w:cs="DengXian-Regular"/>
          <w:color w:val="auto"/>
          <w:sz w:val="32"/>
          <w:szCs w:val="32"/>
          <w:highlight w:val="none"/>
        </w:rPr>
        <w:t>主要是本年度无因公出国费用</w:t>
      </w:r>
      <w:r>
        <w:rPr>
          <w:rFonts w:hint="eastAsia" w:ascii="仿宋_GB2312" w:hAnsi="Times New Roman" w:eastAsia="仿宋_GB2312" w:cs="Wingdings"/>
          <w:color w:val="auto"/>
          <w:sz w:val="32"/>
          <w:szCs w:val="32"/>
          <w:highlight w:val="none"/>
        </w:rPr>
        <w:t>；较上年</w:t>
      </w:r>
      <w:r>
        <w:rPr>
          <w:rFonts w:hint="eastAsia" w:ascii="仿宋_GB2312" w:hAnsi="Times New Roman" w:eastAsia="仿宋_GB2312" w:cs="Wingdings"/>
          <w:color w:val="auto"/>
          <w:sz w:val="32"/>
          <w:szCs w:val="32"/>
          <w:highlight w:val="none"/>
          <w:lang w:val="en-US" w:eastAsia="zh-CN"/>
        </w:rPr>
        <w:t>持平</w:t>
      </w:r>
      <w:r>
        <w:rPr>
          <w:rFonts w:hint="eastAsia" w:ascii="仿宋_GB2312" w:hAnsi="Times New Roman" w:eastAsia="仿宋_GB2312" w:cs="Wingdings"/>
          <w:color w:val="auto"/>
          <w:sz w:val="32"/>
          <w:szCs w:val="32"/>
          <w:highlight w:val="none"/>
        </w:rPr>
        <w:t>,</w:t>
      </w:r>
      <w:r>
        <w:rPr>
          <w:rFonts w:hint="eastAsia" w:ascii="仿宋_GB2312" w:hAnsi="Times New Roman" w:eastAsia="仿宋_GB2312" w:cs="DengXian-Regular"/>
          <w:color w:val="auto"/>
          <w:sz w:val="32"/>
          <w:szCs w:val="32"/>
          <w:highlight w:val="none"/>
        </w:rPr>
        <w:t>主要是本年度无因公出国费用</w:t>
      </w:r>
      <w:r>
        <w:rPr>
          <w:rFonts w:hint="eastAsia" w:ascii="仿宋_GB2312" w:hAnsi="Times New Roman" w:eastAsia="仿宋_GB2312" w:cs="Wingdings"/>
          <w:color w:val="auto"/>
          <w:sz w:val="32"/>
          <w:szCs w:val="32"/>
          <w:highlight w:val="none"/>
        </w:rPr>
        <w:t>。</w:t>
      </w:r>
    </w:p>
    <w:p>
      <w:pPr>
        <w:adjustRightInd w:val="0"/>
        <w:snapToGrid w:val="0"/>
        <w:spacing w:line="600" w:lineRule="exact"/>
        <w:ind w:firstLine="643" w:firstLineChars="200"/>
        <w:rPr>
          <w:rFonts w:ascii="仿宋_GB2312" w:hAnsi="Times New Roman" w:eastAsia="仿宋_GB2312" w:cs="Mongolian Baiti"/>
          <w:b/>
          <w:bCs/>
          <w:color w:val="auto"/>
          <w:sz w:val="32"/>
          <w:szCs w:val="32"/>
          <w:highlight w:val="none"/>
        </w:rPr>
      </w:pPr>
      <w:r>
        <w:rPr>
          <w:rFonts w:hint="eastAsia" w:ascii="楷体_GB2312" w:hAnsi="Times New Roman" w:eastAsia="楷体_GB2312" w:cs="Mongolian Baiti"/>
          <w:b/>
          <w:bCs/>
          <w:sz w:val="32"/>
          <w:szCs w:val="32"/>
        </w:rPr>
        <w:t>2.公务用车购置及运行维护费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lang w:eastAsia="zh-CN"/>
        </w:rPr>
        <w:t>本部门2020</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rPr>
        <w:t>公务用车购置及运行维护费</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万元，完成预算的</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w:t>
      </w:r>
      <w:r>
        <w:rPr>
          <w:rFonts w:hint="eastAsia" w:ascii="仿宋_GB2312" w:hAnsi="Times New Roman" w:eastAsia="仿宋_GB2312" w:cs="Wingdings"/>
          <w:sz w:val="32"/>
          <w:szCs w:val="32"/>
        </w:rPr>
        <w:t>较预算</w:t>
      </w:r>
      <w:r>
        <w:rPr>
          <w:rFonts w:hint="eastAsia" w:ascii="仿宋_GB2312" w:hAnsi="Times New Roman" w:eastAsia="仿宋_GB2312" w:cs="Wingdings"/>
          <w:color w:val="auto"/>
          <w:sz w:val="32"/>
          <w:szCs w:val="32"/>
          <w:highlight w:val="none"/>
          <w:lang w:val="en-US" w:eastAsia="zh-CN"/>
        </w:rPr>
        <w:t>持平</w:t>
      </w:r>
      <w:r>
        <w:rPr>
          <w:rFonts w:hint="eastAsia" w:ascii="仿宋_GB2312" w:hAnsi="Times New Roman" w:eastAsia="仿宋_GB2312" w:cs="Wingdings"/>
          <w:color w:val="auto"/>
          <w:sz w:val="32"/>
          <w:szCs w:val="32"/>
          <w:highlight w:val="none"/>
        </w:rPr>
        <w:t>,主要是</w:t>
      </w:r>
      <w:r>
        <w:rPr>
          <w:rFonts w:hint="eastAsia" w:ascii="仿宋_GB2312" w:hAnsi="仿宋_GB2312" w:eastAsia="仿宋_GB2312" w:cs="仿宋_GB2312"/>
          <w:color w:val="auto"/>
          <w:sz w:val="32"/>
          <w:szCs w:val="32"/>
          <w:highlight w:val="none"/>
        </w:rPr>
        <w:t>本部门车改以后没有公务用车</w:t>
      </w:r>
      <w:r>
        <w:rPr>
          <w:rFonts w:hint="eastAsia" w:ascii="仿宋_GB2312" w:hAnsi="Times New Roman" w:eastAsia="仿宋_GB2312" w:cs="Wingdings"/>
          <w:color w:val="auto"/>
          <w:sz w:val="32"/>
          <w:szCs w:val="32"/>
          <w:highlight w:val="none"/>
        </w:rPr>
        <w:t>；较上年</w:t>
      </w:r>
      <w:r>
        <w:rPr>
          <w:rFonts w:hint="eastAsia" w:ascii="仿宋_GB2312" w:hAnsi="Times New Roman" w:eastAsia="仿宋_GB2312" w:cs="Wingdings"/>
          <w:color w:val="auto"/>
          <w:sz w:val="32"/>
          <w:szCs w:val="32"/>
          <w:highlight w:val="none"/>
          <w:lang w:val="en-US" w:eastAsia="zh-CN"/>
        </w:rPr>
        <w:t>持平</w:t>
      </w:r>
      <w:r>
        <w:rPr>
          <w:rFonts w:hint="eastAsia" w:ascii="仿宋_GB2312" w:hAnsi="Times New Roman" w:eastAsia="仿宋_GB2312" w:cs="Wingdings"/>
          <w:color w:val="auto"/>
          <w:sz w:val="32"/>
          <w:szCs w:val="32"/>
          <w:highlight w:val="none"/>
        </w:rPr>
        <w:t>,主要是</w:t>
      </w:r>
      <w:r>
        <w:rPr>
          <w:rFonts w:hint="eastAsia" w:ascii="仿宋_GB2312" w:hAnsi="仿宋_GB2312" w:eastAsia="仿宋_GB2312" w:cs="仿宋_GB2312"/>
          <w:color w:val="auto"/>
          <w:sz w:val="32"/>
          <w:szCs w:val="32"/>
          <w:highlight w:val="none"/>
        </w:rPr>
        <w:t>本部门车改以后没有公务用车</w:t>
      </w:r>
      <w:r>
        <w:rPr>
          <w:rFonts w:hint="eastAsia" w:ascii="仿宋_GB2312" w:hAnsi="Times New Roman" w:eastAsia="仿宋_GB2312" w:cs="Wingdings"/>
          <w:color w:val="auto"/>
          <w:sz w:val="32"/>
          <w:szCs w:val="32"/>
          <w:highlight w:val="none"/>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本部门2020年度公务用车购置量</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辆，发生“公务用车购置”经费支出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万元。公务用车购置费支出较预算</w:t>
      </w:r>
      <w:r>
        <w:rPr>
          <w:rFonts w:hint="eastAsia" w:ascii="仿宋_GB2312" w:hAnsi="Times New Roman" w:eastAsia="仿宋_GB2312" w:cs="Wingdings"/>
          <w:color w:val="auto"/>
          <w:sz w:val="32"/>
          <w:szCs w:val="32"/>
          <w:lang w:val="en-US" w:eastAsia="zh-CN"/>
        </w:rPr>
        <w:t>持平</w:t>
      </w:r>
      <w:r>
        <w:rPr>
          <w:rFonts w:hint="eastAsia" w:ascii="仿宋_GB2312" w:hAnsi="Times New Roman" w:eastAsia="仿宋_GB2312" w:cs="Wingdings"/>
          <w:color w:val="auto"/>
          <w:sz w:val="32"/>
          <w:szCs w:val="32"/>
        </w:rPr>
        <w:t>,主要是</w:t>
      </w:r>
      <w:r>
        <w:rPr>
          <w:rFonts w:hint="eastAsia" w:ascii="仿宋_GB2312" w:hAnsi="仿宋_GB2312" w:eastAsia="仿宋_GB2312" w:cs="仿宋_GB2312"/>
          <w:color w:val="auto"/>
          <w:sz w:val="32"/>
          <w:szCs w:val="32"/>
        </w:rPr>
        <w:t>本部门车改以后没有公务用车</w:t>
      </w:r>
      <w:r>
        <w:rPr>
          <w:rFonts w:hint="eastAsia" w:ascii="仿宋_GB2312" w:hAnsi="Times New Roman" w:eastAsia="仿宋_GB2312" w:cs="Wingdings"/>
          <w:color w:val="auto"/>
          <w:sz w:val="32"/>
          <w:szCs w:val="32"/>
        </w:rPr>
        <w:t>；较上年</w:t>
      </w:r>
      <w:r>
        <w:rPr>
          <w:rFonts w:hint="eastAsia" w:ascii="仿宋_GB2312" w:hAnsi="Times New Roman" w:eastAsia="仿宋_GB2312" w:cs="Wingdings"/>
          <w:color w:val="auto"/>
          <w:sz w:val="32"/>
          <w:szCs w:val="32"/>
          <w:lang w:val="en-US" w:eastAsia="zh-CN"/>
        </w:rPr>
        <w:t>持平</w:t>
      </w:r>
      <w:r>
        <w:rPr>
          <w:rFonts w:hint="eastAsia" w:ascii="仿宋_GB2312" w:hAnsi="Times New Roman" w:eastAsia="仿宋_GB2312" w:cs="Wingdings"/>
          <w:color w:val="auto"/>
          <w:sz w:val="32"/>
          <w:szCs w:val="32"/>
        </w:rPr>
        <w:t>,主要是</w:t>
      </w:r>
      <w:r>
        <w:rPr>
          <w:rFonts w:hint="eastAsia" w:ascii="仿宋_GB2312" w:hAnsi="仿宋_GB2312" w:eastAsia="仿宋_GB2312" w:cs="仿宋_GB2312"/>
          <w:color w:val="auto"/>
          <w:sz w:val="32"/>
          <w:szCs w:val="32"/>
        </w:rPr>
        <w:t>本部门车改以后没有公务用车</w:t>
      </w:r>
      <w:r>
        <w:rPr>
          <w:rFonts w:hint="eastAsia" w:ascii="仿宋_GB2312" w:hAnsi="仿宋_GB2312" w:eastAsia="仿宋_GB2312" w:cs="仿宋_GB2312"/>
          <w:color w:val="auto"/>
          <w:sz w:val="32"/>
          <w:szCs w:val="32"/>
          <w:lang w:eastAsia="zh-CN"/>
        </w:rPr>
        <w:t>，</w:t>
      </w:r>
      <w:r>
        <w:rPr>
          <w:rFonts w:hint="eastAsia" w:ascii="仿宋_GB2312" w:hAnsi="Times New Roman" w:eastAsia="仿宋_GB2312" w:cs="DengXian-Regular"/>
          <w:color w:val="auto"/>
          <w:sz w:val="32"/>
          <w:szCs w:val="32"/>
        </w:rPr>
        <w:t>公务用车</w:t>
      </w:r>
      <w:r>
        <w:rPr>
          <w:rFonts w:hint="eastAsia" w:ascii="仿宋_GB2312" w:hAnsi="Times New Roman" w:eastAsia="仿宋_GB2312" w:cs="DengXian-Regular"/>
          <w:sz w:val="32"/>
          <w:szCs w:val="32"/>
        </w:rPr>
        <w:t>运行维护费为0，并</w:t>
      </w:r>
      <w:r>
        <w:rPr>
          <w:rFonts w:hint="eastAsia" w:ascii="仿宋_GB2312" w:eastAsia="仿宋_GB2312" w:cs="DengXian-Regular"/>
          <w:sz w:val="32"/>
          <w:szCs w:val="32"/>
        </w:rPr>
        <w:t>认真贯彻落实中央八项规定精神和厉行节约要求，从严控制公务用车购置及运行维护费开支</w:t>
      </w:r>
      <w:r>
        <w:rPr>
          <w:rFonts w:hint="eastAsia" w:ascii="仿宋_GB2312" w:hAnsi="Times New Roman" w:eastAsia="仿宋_GB2312" w:cs="Wingdings"/>
          <w:sz w:val="32"/>
          <w:szCs w:val="32"/>
        </w:rPr>
        <w:t>。</w:t>
      </w:r>
    </w:p>
    <w:p>
      <w:pPr>
        <w:adjustRightInd w:val="0"/>
        <w:snapToGrid w:val="0"/>
        <w:spacing w:line="580" w:lineRule="exact"/>
        <w:ind w:firstLine="643" w:firstLineChars="200"/>
        <w:rPr>
          <w:rFonts w:ascii="仿宋_GB2312" w:hAnsi="Times New Roman" w:eastAsia="仿宋_GB2312" w:cs="Wingdings"/>
          <w:color w:val="auto"/>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辆</w:t>
      </w:r>
      <w:r>
        <w:rPr>
          <w:rFonts w:hint="eastAsia" w:ascii="仿宋_GB2312" w:hAnsi="Times New Roman" w:eastAsia="仿宋_GB2312" w:cs="Wingdings"/>
          <w:sz w:val="32"/>
          <w:szCs w:val="32"/>
          <w:lang w:val="en-US" w:eastAsia="zh-CN"/>
        </w:rPr>
        <w:t>,发生运行维护费支出0万元，</w:t>
      </w:r>
      <w:r>
        <w:rPr>
          <w:rFonts w:hint="eastAsia" w:ascii="仿宋_GB2312" w:hAnsi="Times New Roman" w:eastAsia="仿宋_GB2312" w:cs="Wingdings"/>
          <w:sz w:val="32"/>
          <w:szCs w:val="32"/>
        </w:rPr>
        <w:t>。公车运行维护费支出较</w:t>
      </w:r>
      <w:r>
        <w:rPr>
          <w:rFonts w:hint="eastAsia" w:ascii="仿宋_GB2312" w:hAnsi="Times New Roman" w:eastAsia="仿宋_GB2312" w:cs="Wingdings"/>
          <w:color w:val="auto"/>
          <w:sz w:val="32"/>
          <w:szCs w:val="32"/>
        </w:rPr>
        <w:t>预算</w:t>
      </w:r>
      <w:r>
        <w:rPr>
          <w:rFonts w:hint="eastAsia" w:ascii="仿宋_GB2312" w:hAnsi="Times New Roman" w:eastAsia="仿宋_GB2312" w:cs="Wingdings"/>
          <w:color w:val="auto"/>
          <w:sz w:val="32"/>
          <w:szCs w:val="32"/>
          <w:lang w:val="en-US" w:eastAsia="zh-CN"/>
        </w:rPr>
        <w:t>持平</w:t>
      </w:r>
      <w:r>
        <w:rPr>
          <w:rFonts w:hint="eastAsia" w:ascii="仿宋_GB2312" w:hAnsi="Times New Roman" w:eastAsia="仿宋_GB2312" w:cs="Wingdings"/>
          <w:color w:val="auto"/>
          <w:sz w:val="32"/>
          <w:szCs w:val="32"/>
        </w:rPr>
        <w:t>,主要是</w:t>
      </w:r>
      <w:r>
        <w:rPr>
          <w:rFonts w:hint="eastAsia" w:ascii="仿宋_GB2312" w:hAnsi="仿宋_GB2312" w:eastAsia="仿宋_GB2312" w:cs="仿宋_GB2312"/>
          <w:color w:val="auto"/>
          <w:sz w:val="32"/>
          <w:szCs w:val="32"/>
        </w:rPr>
        <w:t>本部门车改以后没有公务用车</w:t>
      </w:r>
      <w:r>
        <w:rPr>
          <w:rFonts w:hint="eastAsia" w:ascii="仿宋_GB2312" w:hAnsi="Times New Roman" w:eastAsia="仿宋_GB2312" w:cs="Wingdings"/>
          <w:color w:val="auto"/>
          <w:sz w:val="32"/>
          <w:szCs w:val="32"/>
        </w:rPr>
        <w:t>；较上年</w:t>
      </w:r>
      <w:r>
        <w:rPr>
          <w:rFonts w:hint="eastAsia" w:ascii="仿宋_GB2312" w:hAnsi="Times New Roman" w:eastAsia="仿宋_GB2312" w:cs="Wingdings"/>
          <w:color w:val="auto"/>
          <w:sz w:val="32"/>
          <w:szCs w:val="32"/>
          <w:lang w:val="en-US" w:eastAsia="zh-CN"/>
        </w:rPr>
        <w:t>持平</w:t>
      </w:r>
      <w:r>
        <w:rPr>
          <w:rFonts w:hint="eastAsia" w:ascii="仿宋_GB2312" w:hAnsi="Times New Roman" w:eastAsia="仿宋_GB2312" w:cs="Wingdings"/>
          <w:color w:val="auto"/>
          <w:sz w:val="32"/>
          <w:szCs w:val="32"/>
        </w:rPr>
        <w:t>，</w:t>
      </w:r>
      <w:r>
        <w:rPr>
          <w:rFonts w:hint="eastAsia" w:ascii="仿宋_GB2312" w:hAnsi="Times New Roman" w:eastAsia="仿宋_GB2312" w:cs="DengXian-Regular"/>
          <w:color w:val="auto"/>
          <w:sz w:val="32"/>
          <w:szCs w:val="32"/>
        </w:rPr>
        <w:t>主要是</w:t>
      </w:r>
      <w:r>
        <w:rPr>
          <w:rFonts w:hint="eastAsia" w:ascii="仿宋_GB2312" w:eastAsia="仿宋_GB2312" w:cs="DengXian-Regular"/>
          <w:color w:val="auto"/>
          <w:sz w:val="32"/>
          <w:szCs w:val="32"/>
        </w:rPr>
        <w:t>认真贯彻落实中央八项规定精神和厉行节约要求。</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color w:val="auto"/>
          <w:sz w:val="32"/>
          <w:szCs w:val="32"/>
        </w:rPr>
        <w:t>3.公务接待费</w:t>
      </w:r>
      <w:r>
        <w:rPr>
          <w:rFonts w:hint="eastAsia" w:ascii="楷体_GB2312" w:hAnsi="Times New Roman" w:eastAsia="楷体_GB2312" w:cs="Mongolian Baiti"/>
          <w:b/>
          <w:bCs/>
          <w:color w:val="auto"/>
          <w:sz w:val="32"/>
          <w:szCs w:val="32"/>
          <w:lang w:eastAsia="zh-CN"/>
        </w:rPr>
        <w:t>。</w:t>
      </w:r>
      <w:r>
        <w:rPr>
          <w:rFonts w:hint="eastAsia" w:ascii="仿宋_GB2312" w:hAnsi="仿宋_GB2312" w:eastAsia="仿宋_GB2312" w:cs="仿宋_GB2312"/>
          <w:b w:val="0"/>
          <w:bCs w:val="0"/>
          <w:color w:val="auto"/>
          <w:sz w:val="32"/>
          <w:szCs w:val="32"/>
        </w:rPr>
        <w:t>本部门2020年公务用车购置及运行维护费支出</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万元，完成预算的</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发生</w:t>
      </w:r>
      <w:r>
        <w:rPr>
          <w:rFonts w:hint="eastAsia" w:ascii="仿宋_GB2312" w:hAnsi="Times New Roman" w:eastAsia="仿宋_GB2312" w:cs="Wingdings"/>
          <w:color w:val="auto"/>
          <w:sz w:val="32"/>
          <w:szCs w:val="32"/>
        </w:rPr>
        <w:t>公务接待共</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批次、</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人次。公务接待费支出较预算</w:t>
      </w:r>
      <w:r>
        <w:rPr>
          <w:rFonts w:hint="eastAsia" w:ascii="仿宋_GB2312" w:hAnsi="Times New Roman" w:eastAsia="仿宋_GB2312" w:cs="Wingdings"/>
          <w:color w:val="auto"/>
          <w:sz w:val="32"/>
          <w:szCs w:val="32"/>
          <w:lang w:val="en-US" w:eastAsia="zh-CN"/>
        </w:rPr>
        <w:t>持平</w:t>
      </w:r>
      <w:r>
        <w:rPr>
          <w:rFonts w:hint="eastAsia" w:ascii="仿宋_GB2312" w:hAnsi="Times New Roman" w:eastAsia="仿宋_GB2312" w:cs="Wingdings"/>
          <w:color w:val="auto"/>
          <w:sz w:val="32"/>
          <w:szCs w:val="32"/>
        </w:rPr>
        <w:t>,主要是</w:t>
      </w:r>
      <w:r>
        <w:rPr>
          <w:rFonts w:hint="eastAsia" w:ascii="仿宋_GB2312" w:hAnsi="仿宋_GB2312" w:eastAsia="仿宋_GB2312" w:cs="仿宋_GB2312"/>
          <w:color w:val="auto"/>
          <w:sz w:val="32"/>
          <w:szCs w:val="32"/>
        </w:rPr>
        <w:t>本年度部门严格控制公务接待</w:t>
      </w:r>
      <w:r>
        <w:rPr>
          <w:rFonts w:hint="eastAsia" w:ascii="仿宋_GB2312" w:hAnsi="Times New Roman" w:eastAsia="仿宋_GB2312" w:cs="Wingdings"/>
          <w:color w:val="auto"/>
          <w:sz w:val="32"/>
          <w:szCs w:val="32"/>
        </w:rPr>
        <w:t>；较上年度</w:t>
      </w:r>
      <w:r>
        <w:rPr>
          <w:rFonts w:hint="eastAsia" w:ascii="仿宋_GB2312" w:hAnsi="Times New Roman" w:eastAsia="仿宋_GB2312" w:cs="Wingdings"/>
          <w:color w:val="auto"/>
          <w:sz w:val="32"/>
          <w:szCs w:val="32"/>
          <w:lang w:val="en-US" w:eastAsia="zh-CN"/>
        </w:rPr>
        <w:t>持平</w:t>
      </w:r>
      <w:r>
        <w:rPr>
          <w:rFonts w:hint="eastAsia" w:ascii="仿宋_GB2312" w:hAnsi="Times New Roman" w:eastAsia="仿宋_GB2312" w:cs="Wingdings"/>
          <w:sz w:val="32"/>
          <w:szCs w:val="32"/>
        </w:rPr>
        <w:t>,主要是</w:t>
      </w:r>
      <w:r>
        <w:rPr>
          <w:rFonts w:hint="eastAsia" w:ascii="仿宋_GB2312" w:hAnsi="仿宋_GB2312" w:eastAsia="仿宋_GB2312" w:cs="仿宋_GB2312"/>
          <w:sz w:val="32"/>
          <w:szCs w:val="32"/>
        </w:rPr>
        <w:t>本年度部门严格控制公务接待。</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根据预算绩效管理要求，本部门组织对2020年度项目支出全面开展绩效自评，其中，一般公共预算一级项目</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698.47</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；政府性基金预算一级项目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林业保险</w:t>
      </w:r>
      <w:r>
        <w:rPr>
          <w:rFonts w:hint="eastAsia" w:ascii="仿宋_GB2312" w:hAnsi="仿宋_GB2312" w:eastAsia="仿宋_GB2312" w:cs="仿宋_GB2312"/>
          <w:sz w:val="32"/>
          <w:szCs w:val="32"/>
        </w:rPr>
        <w:t>”一级项目开展了部门评价，涉及一般公共预算支出</w:t>
      </w:r>
      <w:r>
        <w:rPr>
          <w:rFonts w:hint="eastAsia" w:ascii="仿宋_GB2312" w:hAnsi="仿宋_GB2312" w:eastAsia="仿宋_GB2312" w:cs="仿宋_GB2312"/>
          <w:sz w:val="32"/>
          <w:szCs w:val="32"/>
          <w:lang w:val="en-US" w:eastAsia="zh-CN"/>
        </w:rPr>
        <w:t>6.95</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万元。其中，对“</w:t>
      </w:r>
      <w:r>
        <w:rPr>
          <w:rFonts w:hint="eastAsia" w:ascii="仿宋_GB2312" w:hAnsi="仿宋_GB2312" w:eastAsia="仿宋_GB2312" w:cs="仿宋_GB2312"/>
          <w:sz w:val="32"/>
          <w:szCs w:val="32"/>
          <w:lang w:eastAsia="zh-CN"/>
        </w:rPr>
        <w:t>农民高级技师贴</w:t>
      </w:r>
      <w:r>
        <w:rPr>
          <w:rFonts w:hint="eastAsia" w:ascii="仿宋_GB2312" w:hAnsi="仿宋_GB2312" w:eastAsia="仿宋_GB2312" w:cs="仿宋_GB2312"/>
          <w:sz w:val="32"/>
          <w:szCs w:val="32"/>
        </w:rPr>
        <w:t>”项目开展自我绩效评价。从评价情况来看，符合条件两人，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全部发放到位</w:t>
      </w:r>
      <w:r>
        <w:rPr>
          <w:rFonts w:hint="eastAsia" w:ascii="仿宋_GB2312" w:hAnsi="仿宋_GB2312" w:eastAsia="仿宋_GB2312" w:cs="仿宋_GB2312"/>
          <w:sz w:val="32"/>
          <w:szCs w:val="32"/>
          <w:lang w:eastAsia="zh-CN"/>
        </w:rPr>
        <w:t>。</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果品安全</w:t>
      </w:r>
      <w:r>
        <w:rPr>
          <w:rFonts w:hint="eastAsia" w:ascii="仿宋_GB2312" w:hAnsi="仿宋_GB2312" w:eastAsia="仿宋_GB2312" w:cs="仿宋_GB2312"/>
          <w:sz w:val="32"/>
          <w:szCs w:val="32"/>
        </w:rPr>
        <w:t>项目及</w:t>
      </w:r>
      <w:r>
        <w:rPr>
          <w:rFonts w:hint="eastAsia" w:ascii="仿宋_GB2312" w:hAnsi="仿宋_GB2312" w:eastAsia="仿宋_GB2312" w:cs="仿宋_GB2312"/>
          <w:sz w:val="32"/>
          <w:szCs w:val="32"/>
          <w:lang w:eastAsia="zh-CN"/>
        </w:rPr>
        <w:t>全民义务植树</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个项目绩效自评结果。</w:t>
      </w:r>
    </w:p>
    <w:p>
      <w:pPr>
        <w:wordWrap w:val="0"/>
        <w:spacing w:line="360" w:lineRule="auto"/>
        <w:ind w:firstLine="640"/>
        <w:jc w:val="left"/>
        <w:rPr>
          <w:rFonts w:hint="eastAsia" w:ascii="仿宋" w:hAnsi="仿宋" w:eastAsia="仿宋" w:cs="仿宋"/>
          <w:sz w:val="32"/>
          <w:szCs w:val="32"/>
          <w:shd w:val="clear" w:color="auto" w:fill="FFFFFF"/>
        </w:rPr>
      </w:pPr>
      <w:r>
        <w:rPr>
          <w:rFonts w:hint="eastAsia" w:ascii="仿宋" w:hAnsi="仿宋" w:eastAsia="仿宋" w:cs="仿宋"/>
          <w:b/>
          <w:bCs/>
          <w:color w:val="333333"/>
          <w:sz w:val="32"/>
          <w:szCs w:val="32"/>
          <w:lang w:val="en-US" w:eastAsia="zh-CN"/>
        </w:rPr>
        <w:t>1、</w:t>
      </w:r>
      <w:r>
        <w:rPr>
          <w:rFonts w:hint="eastAsia" w:ascii="仿宋" w:hAnsi="仿宋" w:eastAsia="仿宋" w:cs="仿宋"/>
          <w:b/>
          <w:bCs/>
          <w:color w:val="333333"/>
          <w:sz w:val="32"/>
          <w:szCs w:val="32"/>
        </w:rPr>
        <w:t>加强水旱灾害防御措施建设</w:t>
      </w:r>
      <w:r>
        <w:rPr>
          <w:rFonts w:hint="eastAsia" w:ascii="仿宋" w:hAnsi="仿宋" w:eastAsia="仿宋" w:cs="仿宋"/>
          <w:b/>
          <w:bCs/>
          <w:sz w:val="32"/>
          <w:szCs w:val="32"/>
        </w:rPr>
        <w:t>。</w:t>
      </w:r>
      <w:r>
        <w:rPr>
          <w:rFonts w:hint="eastAsia" w:ascii="仿宋" w:hAnsi="仿宋" w:eastAsia="仿宋" w:cs="仿宋"/>
          <w:sz w:val="32"/>
          <w:szCs w:val="32"/>
          <w:shd w:val="clear" w:color="auto" w:fill="FFFFFF"/>
        </w:rPr>
        <w:t>坚持防汛抗旱并重、开源节流并举、开发保护统筹，把解决人民群众最关心、最直接、最现实的民生水利问题作为水务工作的重点，针对我区小流域山洪灾害频发的实际情况，积极探索小流域灾害防治创新机制，</w:t>
      </w:r>
      <w:r>
        <w:rPr>
          <w:rFonts w:hint="eastAsia" w:ascii="仿宋" w:hAnsi="仿宋" w:eastAsia="仿宋" w:cs="仿宋"/>
          <w:sz w:val="32"/>
          <w:szCs w:val="32"/>
        </w:rPr>
        <w:t>强化防灾减灾工作的社会化管理和公共服务职责，健全水旱灾害防灾应急响应机制，突出完善水旱灾害防御行政领导负责制、部门责任制、技术责任制，强化责任意识和忧患意识，补充完善防汛物资储备和队伍力量，加强应急演练培训，提高全区水旱灾害防御应对能力和水平。</w:t>
      </w:r>
      <w:r>
        <w:rPr>
          <w:rFonts w:hint="eastAsia" w:ascii="仿宋" w:hAnsi="仿宋" w:eastAsia="仿宋" w:cs="仿宋"/>
          <w:sz w:val="32"/>
          <w:szCs w:val="32"/>
          <w:shd w:val="clear" w:color="auto" w:fill="FFFFFF"/>
        </w:rPr>
        <w:t>　</w:t>
      </w:r>
      <w:r>
        <w:rPr>
          <w:rFonts w:ascii="仿宋_GB2312" w:eastAsia="仿宋_GB2312"/>
          <w:sz w:val="32"/>
          <w:szCs w:val="32"/>
        </w:rPr>
        <w:t>扎实</w:t>
      </w:r>
      <w:r>
        <w:rPr>
          <w:rFonts w:hint="eastAsia" w:ascii="仿宋_GB2312" w:eastAsia="仿宋_GB2312"/>
          <w:sz w:val="32"/>
          <w:szCs w:val="32"/>
        </w:rPr>
        <w:t>有效</w:t>
      </w:r>
      <w:r>
        <w:rPr>
          <w:rFonts w:ascii="仿宋_GB2312" w:eastAsia="仿宋_GB2312"/>
          <w:sz w:val="32"/>
          <w:szCs w:val="32"/>
        </w:rPr>
        <w:t>地做好防御暴雨洪水</w:t>
      </w:r>
      <w:r>
        <w:rPr>
          <w:rFonts w:hint="eastAsia" w:ascii="仿宋_GB2312" w:eastAsia="仿宋_GB2312"/>
          <w:sz w:val="32"/>
          <w:szCs w:val="32"/>
        </w:rPr>
        <w:t>和山地灾害防御工作。备汛工</w:t>
      </w:r>
      <w:r>
        <w:rPr>
          <w:rFonts w:hint="eastAsia" w:ascii="仿宋_GB2312" w:eastAsia="仿宋_GB2312"/>
          <w:color w:val="000000"/>
          <w:sz w:val="32"/>
          <w:szCs w:val="32"/>
        </w:rPr>
        <w:t>作做到行政领导，技术参谋、抢险预案、抢险物料、抢险队伍“五落实”，</w:t>
      </w:r>
      <w:r>
        <w:rPr>
          <w:rFonts w:hint="eastAsia" w:ascii="仿宋_GB2312" w:eastAsia="仿宋_GB2312"/>
          <w:sz w:val="32"/>
          <w:szCs w:val="32"/>
        </w:rPr>
        <w:t>汛前</w:t>
      </w:r>
      <w:r>
        <w:rPr>
          <w:rFonts w:hint="eastAsia" w:ascii="仿宋" w:hAnsi="仿宋" w:eastAsia="仿宋" w:cs="宋体"/>
          <w:kern w:val="0"/>
          <w:sz w:val="32"/>
          <w:szCs w:val="32"/>
        </w:rPr>
        <w:t>对全区2座水库、2个塘坝、10处地质灾害点、</w:t>
      </w:r>
      <w:r>
        <w:rPr>
          <w:rFonts w:ascii="仿宋_GB2312" w:hAnsi="仿宋_GB2312" w:eastAsia="仿宋_GB2312"/>
          <w:sz w:val="32"/>
          <w:szCs w:val="32"/>
        </w:rPr>
        <w:t>5级以下村级防洪堤及滦河上板城段险工险段进</w:t>
      </w:r>
      <w:r>
        <w:rPr>
          <w:rFonts w:ascii="仿宋" w:hAnsi="仿宋" w:eastAsia="仿宋"/>
          <w:sz w:val="32"/>
          <w:szCs w:val="32"/>
        </w:rPr>
        <w:t>行了全面</w:t>
      </w:r>
      <w:r>
        <w:rPr>
          <w:rFonts w:hint="eastAsia" w:ascii="仿宋" w:hAnsi="仿宋" w:eastAsia="仿宋"/>
          <w:sz w:val="32"/>
          <w:szCs w:val="32"/>
        </w:rPr>
        <w:t>隐患排查。</w:t>
      </w:r>
      <w:r>
        <w:rPr>
          <w:rFonts w:hint="eastAsia" w:ascii="仿宋" w:hAnsi="仿宋" w:eastAsia="仿宋" w:cs="仿宋"/>
          <w:sz w:val="32"/>
          <w:szCs w:val="32"/>
        </w:rPr>
        <w:t>连续三年</w:t>
      </w:r>
      <w:r>
        <w:rPr>
          <w:rFonts w:hint="eastAsia" w:ascii="仿宋_GB2312" w:eastAsia="仿宋_GB2312"/>
          <w:sz w:val="32"/>
          <w:szCs w:val="32"/>
        </w:rPr>
        <w:t>组织</w:t>
      </w:r>
      <w:r>
        <w:rPr>
          <w:rFonts w:hint="eastAsia" w:ascii="仿宋" w:hAnsi="仿宋" w:eastAsia="仿宋" w:cs="仿宋"/>
          <w:sz w:val="32"/>
          <w:szCs w:val="32"/>
        </w:rPr>
        <w:t>各级抢险组织80余人参加的防汛抢险避险演练，对镇、村级各类防汛责任人进行防汛抢险知识培训，为做好抗洪抢险救灾工作提供有力保障，</w:t>
      </w:r>
      <w:r>
        <w:rPr>
          <w:rFonts w:hint="eastAsia" w:ascii="仿宋" w:hAnsi="仿宋" w:eastAsia="仿宋" w:cs="仿宋"/>
          <w:color w:val="000000"/>
          <w:sz w:val="32"/>
          <w:szCs w:val="32"/>
        </w:rPr>
        <w:t>实现了防汛工作无重大损失，无人员伤亡的既定目标。</w:t>
      </w:r>
    </w:p>
    <w:p>
      <w:pPr>
        <w:tabs>
          <w:tab w:val="left" w:pos="6090"/>
        </w:tabs>
        <w:spacing w:line="560" w:lineRule="exact"/>
        <w:ind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333333"/>
          <w:sz w:val="32"/>
          <w:szCs w:val="32"/>
          <w:lang w:val="en-US" w:eastAsia="zh-CN"/>
        </w:rPr>
        <w:t>2、</w:t>
      </w:r>
      <w:r>
        <w:rPr>
          <w:rFonts w:hint="eastAsia" w:ascii="仿宋" w:hAnsi="仿宋" w:eastAsia="仿宋" w:cs="仿宋"/>
          <w:b/>
          <w:bCs/>
          <w:color w:val="333333"/>
          <w:sz w:val="32"/>
          <w:szCs w:val="32"/>
        </w:rPr>
        <w:t>深入推进</w:t>
      </w:r>
      <w:r>
        <w:rPr>
          <w:rFonts w:hint="eastAsia" w:ascii="仿宋" w:hAnsi="仿宋" w:eastAsia="仿宋"/>
          <w:b/>
          <w:kern w:val="0"/>
          <w:sz w:val="32"/>
          <w:szCs w:val="20"/>
          <w:lang w:val="zh-CN"/>
        </w:rPr>
        <w:t>河道管理与河湖“清四乱”</w:t>
      </w:r>
      <w:r>
        <w:rPr>
          <w:rFonts w:hint="eastAsia" w:ascii="仿宋" w:hAnsi="仿宋" w:eastAsia="仿宋" w:cs="仿宋"/>
          <w:b/>
          <w:bCs/>
          <w:color w:val="333333"/>
          <w:sz w:val="32"/>
          <w:szCs w:val="32"/>
        </w:rPr>
        <w:t>工作。</w:t>
      </w:r>
      <w:r>
        <w:rPr>
          <w:rFonts w:hint="eastAsia" w:ascii="仿宋" w:hAnsi="仿宋" w:eastAsia="仿宋" w:cs="仿宋"/>
          <w:color w:val="333333"/>
          <w:sz w:val="32"/>
          <w:szCs w:val="32"/>
        </w:rPr>
        <w:t>巩固当前河湖清违清障成果，持</w:t>
      </w:r>
      <w:r>
        <w:rPr>
          <w:rFonts w:hint="eastAsia" w:ascii="仿宋" w:hAnsi="仿宋" w:eastAsia="仿宋" w:cs="仿宋"/>
          <w:color w:val="000000"/>
          <w:sz w:val="32"/>
          <w:szCs w:val="32"/>
        </w:rPr>
        <w:t>续推进河道工程建设与管理工作，严厉打击偷挖滥采，乱堆乱建、挤占河道的不法行为，</w:t>
      </w:r>
      <w:r>
        <w:rPr>
          <w:rFonts w:hint="eastAsia" w:ascii="仿宋" w:hAnsi="仿宋" w:eastAsia="仿宋" w:cs="仿宋"/>
          <w:color w:val="333333"/>
          <w:sz w:val="32"/>
          <w:szCs w:val="32"/>
        </w:rPr>
        <w:t>进一步完善河湖保洁考核巡查机制，加强河湖保洁监督，加大河库巡查力度和频次，严格实施第三方考核测评河湖保洁工作制度，确保河道及沿线环境干净整洁，进一步提升河库水环境质量。</w:t>
      </w:r>
      <w:r>
        <w:rPr>
          <w:rFonts w:hint="eastAsia" w:ascii="仿宋" w:hAnsi="仿宋" w:eastAsia="仿宋" w:cs="仿宋"/>
          <w:color w:val="191919"/>
          <w:sz w:val="32"/>
          <w:szCs w:val="32"/>
          <w:shd w:val="clear" w:color="auto" w:fill="FFFFFF"/>
        </w:rPr>
        <w:t>全面完成河库划界工作，加强河长和河务警长的沟通协作，</w:t>
      </w:r>
      <w:r>
        <w:rPr>
          <w:rFonts w:hint="eastAsia" w:ascii="仿宋_GB2312" w:hAnsi="仿宋" w:eastAsia="仿宋_GB2312" w:cs="仿宋"/>
          <w:sz w:val="32"/>
          <w:szCs w:val="32"/>
        </w:rPr>
        <w:t>依托区级生态环境综合执法队伍，加强日常生态执法检查，强化河湖生态环境违法违规案件的综合行政执法力度，</w:t>
      </w:r>
      <w:r>
        <w:rPr>
          <w:rFonts w:hint="eastAsia" w:ascii="仿宋" w:hAnsi="仿宋" w:eastAsia="仿宋" w:cs="仿宋"/>
          <w:color w:val="191919"/>
          <w:sz w:val="32"/>
          <w:szCs w:val="32"/>
          <w:shd w:val="clear" w:color="auto" w:fill="FFFFFF"/>
        </w:rPr>
        <w:t>根除河道“四乱”问题。</w:t>
      </w:r>
      <w:r>
        <w:rPr>
          <w:rFonts w:hint="eastAsia" w:ascii="仿宋" w:hAnsi="仿宋" w:eastAsia="仿宋" w:cs="仿宋"/>
          <w:sz w:val="32"/>
          <w:szCs w:val="32"/>
          <w:shd w:val="clear" w:color="auto" w:fill="FFFFFF"/>
        </w:rPr>
        <w:t>对</w:t>
      </w:r>
      <w:r>
        <w:rPr>
          <w:rFonts w:ascii="仿宋" w:hAnsi="仿宋" w:eastAsia="仿宋" w:cs="仿宋"/>
          <w:sz w:val="32"/>
          <w:szCs w:val="32"/>
          <w:shd w:val="clear" w:color="auto" w:fill="FFFFFF"/>
        </w:rPr>
        <w:t>2018-2020</w:t>
      </w:r>
      <w:r>
        <w:rPr>
          <w:rFonts w:hint="eastAsia" w:ascii="仿宋" w:hAnsi="仿宋" w:eastAsia="仿宋" w:cs="仿宋"/>
          <w:sz w:val="32"/>
          <w:szCs w:val="32"/>
          <w:shd w:val="clear" w:color="auto" w:fill="FFFFFF"/>
        </w:rPr>
        <w:t>年加强和改进城乡水污染防治、河流清障保洁、涉水工程管理、地下水污染防治等工作进行落实，</w:t>
      </w:r>
      <w:r>
        <w:rPr>
          <w:rFonts w:hint="eastAsia" w:ascii="仿宋_GB2312" w:hAnsi="仿宋" w:eastAsia="仿宋_GB2312" w:cs="仿宋"/>
          <w:bCs/>
          <w:sz w:val="32"/>
          <w:szCs w:val="32"/>
        </w:rPr>
        <w:t>完成了“一办一室一队伍”、“一平台一主体四机制”建设和“</w:t>
      </w:r>
      <w:r>
        <w:rPr>
          <w:rFonts w:hint="eastAsia" w:ascii="仿宋" w:hAnsi="仿宋" w:eastAsia="仿宋" w:cs="仿宋"/>
          <w:sz w:val="32"/>
          <w:szCs w:val="32"/>
        </w:rPr>
        <w:t>白河河道管理范围划界复核方案”、“一河一策”方案的编制工作。</w:t>
      </w:r>
      <w:r>
        <w:rPr>
          <w:rFonts w:hint="eastAsia" w:ascii="仿宋" w:hAnsi="仿宋" w:eastAsia="仿宋" w:cs="仿宋"/>
          <w:bCs/>
          <w:color w:val="404040"/>
          <w:sz w:val="32"/>
          <w:szCs w:val="32"/>
          <w:shd w:val="clear" w:color="auto" w:fill="FFFFFF"/>
        </w:rPr>
        <w:t>推出河库管护专业化、市场化运行模式，河湖保洁员、巡查员、专管员实行三员合一管理，</w:t>
      </w:r>
      <w:r>
        <w:rPr>
          <w:rFonts w:hint="eastAsia" w:ascii="仿宋" w:hAnsi="仿宋" w:eastAsia="仿宋" w:cs="仿宋"/>
          <w:bCs/>
          <w:sz w:val="32"/>
          <w:szCs w:val="32"/>
        </w:rPr>
        <w:t>建立了</w:t>
      </w:r>
      <w:r>
        <w:rPr>
          <w:rFonts w:hint="eastAsia" w:ascii="仿宋_GB2312" w:hAnsi="仿宋" w:eastAsia="仿宋_GB2312" w:cs="仿宋"/>
          <w:sz w:val="32"/>
          <w:szCs w:val="32"/>
        </w:rPr>
        <w:t>河湖生态巡查管护中心，设立“河务警长”</w:t>
      </w:r>
      <w:r>
        <w:rPr>
          <w:rFonts w:hint="eastAsia" w:ascii="仿宋_GB2312" w:hAnsi="仿宋" w:eastAsia="仿宋_GB2312" w:cs="仿宋"/>
          <w:bCs/>
          <w:sz w:val="32"/>
          <w:szCs w:val="32"/>
        </w:rPr>
        <w:t>，</w:t>
      </w:r>
      <w:r>
        <w:rPr>
          <w:rFonts w:hint="eastAsia" w:ascii="仿宋_GB2312" w:hAnsi="仿宋" w:eastAsia="仿宋_GB2312" w:cs="仿宋"/>
          <w:sz w:val="32"/>
          <w:szCs w:val="32"/>
        </w:rPr>
        <w:t>依托区级生态环境综合执法队伍，加大对河湖生态环境违法违规案件的综合行政执法力度</w:t>
      </w:r>
      <w:r>
        <w:rPr>
          <w:rFonts w:hint="eastAsia" w:ascii="仿宋" w:hAnsi="仿宋" w:eastAsia="仿宋" w:cs="仿宋"/>
          <w:sz w:val="32"/>
          <w:szCs w:val="32"/>
        </w:rPr>
        <w:t>，</w:t>
      </w:r>
      <w:r>
        <w:rPr>
          <w:rFonts w:hint="eastAsia" w:ascii="仿宋" w:hAnsi="仿宋" w:eastAsia="仿宋" w:cs="仿宋"/>
          <w:bCs/>
          <w:sz w:val="32"/>
          <w:szCs w:val="32"/>
        </w:rPr>
        <w:t>按照“属地管理、上下协同”的调查处置机制，</w:t>
      </w:r>
      <w:r>
        <w:rPr>
          <w:rFonts w:hint="eastAsia" w:ascii="仿宋" w:hAnsi="仿宋" w:eastAsia="仿宋" w:cs="仿宋"/>
          <w:bCs/>
          <w:color w:val="191919"/>
          <w:sz w:val="32"/>
          <w:szCs w:val="32"/>
          <w:shd w:val="clear" w:color="auto" w:fill="FFFFFF"/>
        </w:rPr>
        <w:t>建立区、镇、村三级河长手机APP巡河系统，实现了河道长效管护</w:t>
      </w:r>
      <w:r>
        <w:rPr>
          <w:rFonts w:hint="eastAsia" w:ascii="仿宋" w:hAnsi="仿宋" w:eastAsia="仿宋" w:cs="仿宋"/>
          <w:bCs/>
          <w:color w:val="404040"/>
          <w:sz w:val="32"/>
          <w:szCs w:val="32"/>
          <w:shd w:val="clear" w:color="auto" w:fill="FFFFFF"/>
        </w:rPr>
        <w:t>和高新区河、库管理规范化</w:t>
      </w:r>
      <w:r>
        <w:rPr>
          <w:rFonts w:hint="eastAsia" w:ascii="仿宋" w:hAnsi="仿宋" w:eastAsia="仿宋" w:cs="仿宋"/>
          <w:bCs/>
          <w:color w:val="191919"/>
          <w:sz w:val="32"/>
          <w:szCs w:val="32"/>
          <w:shd w:val="clear" w:color="auto" w:fill="FFFFFF"/>
        </w:rPr>
        <w:t>。</w:t>
      </w:r>
      <w:r>
        <w:rPr>
          <w:rFonts w:hint="eastAsia" w:ascii="仿宋" w:hAnsi="仿宋" w:eastAsia="仿宋" w:cs="仿宋"/>
          <w:bCs/>
          <w:color w:val="000000"/>
          <w:kern w:val="0"/>
          <w:sz w:val="32"/>
          <w:szCs w:val="32"/>
        </w:rPr>
        <w:t>各级河长</w:t>
      </w:r>
      <w:r>
        <w:rPr>
          <w:rFonts w:hint="eastAsia" w:ascii="仿宋" w:hAnsi="仿宋" w:eastAsia="仿宋" w:cs="仿宋"/>
          <w:bCs/>
          <w:sz w:val="32"/>
          <w:szCs w:val="32"/>
        </w:rPr>
        <w:t>以“守水有责、</w:t>
      </w:r>
      <w:r>
        <w:rPr>
          <w:rFonts w:hint="eastAsia" w:ascii="仿宋" w:hAnsi="仿宋" w:eastAsia="仿宋" w:cs="仿宋"/>
          <w:bCs/>
          <w:color w:val="333333"/>
          <w:sz w:val="32"/>
          <w:szCs w:val="32"/>
          <w:shd w:val="clear" w:color="auto" w:fill="FFFFFF"/>
        </w:rPr>
        <w:t>守水负责、守水尽责</w:t>
      </w:r>
      <w:r>
        <w:rPr>
          <w:rFonts w:hint="eastAsia" w:ascii="仿宋" w:hAnsi="仿宋" w:eastAsia="仿宋" w:cs="仿宋"/>
          <w:bCs/>
          <w:sz w:val="32"/>
          <w:szCs w:val="32"/>
        </w:rPr>
        <w:t>”的高度责任感认真落实河长巡河制度，累计</w:t>
      </w:r>
      <w:r>
        <w:rPr>
          <w:rFonts w:hint="eastAsia" w:ascii="仿宋" w:hAnsi="仿宋" w:eastAsia="仿宋" w:cs="仿宋"/>
          <w:bCs/>
          <w:color w:val="333333"/>
          <w:sz w:val="32"/>
          <w:szCs w:val="32"/>
          <w:shd w:val="clear" w:color="auto" w:fill="FFFFFF"/>
        </w:rPr>
        <w:t>发现问题44件次，其中区级河长巡河发现并解决问题11件次、基层河长在巡河中发现并解决问题33件次。</w:t>
      </w:r>
      <w:r>
        <w:rPr>
          <w:rFonts w:hint="eastAsia" w:ascii="仿宋" w:hAnsi="仿宋" w:eastAsia="仿宋" w:cs="仿宋"/>
          <w:color w:val="333333"/>
          <w:sz w:val="32"/>
          <w:szCs w:val="32"/>
          <w:shd w:val="clear" w:color="auto" w:fill="FFFFFF"/>
        </w:rPr>
        <w:t>认真落实省、市及高新区管委会工作部署，把河湖“清四乱”工作作为政治任务，</w:t>
      </w:r>
      <w:r>
        <w:rPr>
          <w:rFonts w:hint="eastAsia" w:ascii="仿宋" w:hAnsi="仿宋" w:eastAsia="仿宋" w:cs="仿宋"/>
          <w:sz w:val="32"/>
          <w:szCs w:val="32"/>
        </w:rPr>
        <w:t>制定了《高新区河湖“清四乱”问题整改实施方案》，建立问题台账，明确责任人和完成时限，</w:t>
      </w:r>
      <w:r>
        <w:rPr>
          <w:rFonts w:hint="eastAsia" w:ascii="仿宋" w:hAnsi="仿宋" w:eastAsia="仿宋" w:cs="仿宋"/>
          <w:color w:val="333333"/>
          <w:sz w:val="32"/>
          <w:szCs w:val="32"/>
          <w:shd w:val="clear" w:color="auto" w:fill="FFFFFF"/>
        </w:rPr>
        <w:t>明确责任，倒排工期，全力开展河道采砂整治“飓风行动”和河湖“清四乱”攻坚战，</w:t>
      </w:r>
      <w:r>
        <w:rPr>
          <w:rFonts w:hint="eastAsia" w:ascii="仿宋" w:hAnsi="仿宋" w:eastAsia="仿宋" w:cs="仿宋"/>
          <w:sz w:val="32"/>
          <w:szCs w:val="32"/>
        </w:rPr>
        <w:t>整治期间累计下达法律文书20份，组织联合执法行动7次，取缔关停散乱污企业</w:t>
      </w:r>
      <w:r>
        <w:rPr>
          <w:rFonts w:ascii="仿宋" w:hAnsi="仿宋" w:eastAsia="仿宋" w:cs="仿宋"/>
          <w:sz w:val="32"/>
          <w:szCs w:val="32"/>
        </w:rPr>
        <w:t>15</w:t>
      </w:r>
      <w:r>
        <w:rPr>
          <w:rFonts w:hint="eastAsia" w:ascii="仿宋" w:hAnsi="仿宋" w:eastAsia="仿宋" w:cs="仿宋"/>
          <w:sz w:val="32"/>
          <w:szCs w:val="32"/>
        </w:rPr>
        <w:t>个，提升改造</w:t>
      </w:r>
      <w:r>
        <w:rPr>
          <w:rFonts w:ascii="仿宋" w:hAnsi="仿宋" w:eastAsia="仿宋" w:cs="仿宋"/>
          <w:sz w:val="32"/>
          <w:szCs w:val="32"/>
        </w:rPr>
        <w:t>22</w:t>
      </w:r>
      <w:r>
        <w:rPr>
          <w:rFonts w:hint="eastAsia" w:ascii="仿宋" w:hAnsi="仿宋" w:eastAsia="仿宋" w:cs="仿宋"/>
          <w:sz w:val="32"/>
          <w:szCs w:val="32"/>
        </w:rPr>
        <w:t>个，整改搬迁</w:t>
      </w:r>
      <w:r>
        <w:rPr>
          <w:rFonts w:ascii="仿宋" w:hAnsi="仿宋" w:eastAsia="仿宋" w:cs="仿宋"/>
          <w:sz w:val="32"/>
          <w:szCs w:val="32"/>
        </w:rPr>
        <w:t>16</w:t>
      </w:r>
      <w:r>
        <w:rPr>
          <w:rFonts w:hint="eastAsia" w:ascii="仿宋" w:hAnsi="仿宋" w:eastAsia="仿宋" w:cs="仿宋"/>
          <w:sz w:val="32"/>
          <w:szCs w:val="32"/>
        </w:rPr>
        <w:t>个。截止目前，全区共拆除河道管理范围内违建28 处、2万余平米；清除建筑垃圾8000余吨、生活垃圾23万立方米，清理疏浚河道1.35万延长米；铲除非法种植物600余亩，树障2万余株。</w:t>
      </w:r>
    </w:p>
    <w:p>
      <w:pPr>
        <w:pStyle w:val="5"/>
        <w:widowControl/>
        <w:spacing w:beforeAutospacing="0" w:afterAutospacing="0"/>
        <w:ind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lang w:val="en-US" w:eastAsia="zh-CN"/>
        </w:rPr>
        <w:t>3、</w:t>
      </w:r>
      <w:r>
        <w:rPr>
          <w:rFonts w:hint="eastAsia" w:ascii="仿宋" w:hAnsi="仿宋" w:eastAsia="仿宋" w:cs="仿宋"/>
          <w:b/>
          <w:bCs/>
          <w:color w:val="333333"/>
          <w:sz w:val="32"/>
          <w:szCs w:val="32"/>
          <w:shd w:val="clear" w:color="auto" w:fill="FFFFFF"/>
        </w:rPr>
        <w:t>全力保障农村饮水安全。</w:t>
      </w:r>
      <w:r>
        <w:rPr>
          <w:rFonts w:hint="eastAsia" w:ascii="仿宋" w:hAnsi="仿宋" w:eastAsia="仿宋" w:cs="仿宋"/>
          <w:color w:val="333333"/>
          <w:sz w:val="32"/>
          <w:szCs w:val="32"/>
          <w:shd w:val="clear" w:color="auto" w:fill="FFFFFF"/>
        </w:rPr>
        <w:t>“十四五”期间计划投资1250万元，解决2个镇、6个村的水源工程建设及管网维护问题，同时</w:t>
      </w:r>
      <w:r>
        <w:rPr>
          <w:rFonts w:hint="eastAsia" w:ascii="仿宋" w:hAnsi="仿宋" w:eastAsia="仿宋" w:cs="仿宋"/>
          <w:color w:val="000000"/>
          <w:sz w:val="32"/>
          <w:szCs w:val="32"/>
          <w:shd w:val="clear" w:color="auto" w:fill="FFFFFF"/>
        </w:rPr>
        <w:t>充分发挥已建工程效益，进一步巩固和提高农村饮水集中供水率、自来水普及率、供水保证率和水质达标率。</w:t>
      </w:r>
      <w:r>
        <w:rPr>
          <w:rFonts w:hint="eastAsia" w:ascii="仿宋" w:hAnsi="仿宋" w:eastAsia="仿宋" w:cs="仿宋"/>
          <w:color w:val="333333"/>
          <w:sz w:val="32"/>
          <w:szCs w:val="32"/>
          <w:shd w:val="clear" w:color="auto" w:fill="FFFFFF"/>
        </w:rPr>
        <w:t>以托管镇政府为农村饮水安全保障责任主体，整合资源，统筹安排应急工作任务，建立健全预防预警机制，提升应急响应能力，妥善处理突发性饮水安全事件及其隐患，及时处置可能出现的农村饮水安全隐患</w:t>
      </w:r>
      <w:r>
        <w:rPr>
          <w:rFonts w:hint="eastAsia" w:ascii="仿宋" w:hAnsi="仿宋" w:eastAsia="仿宋" w:cs="仿宋"/>
          <w:sz w:val="32"/>
          <w:szCs w:val="32"/>
        </w:rPr>
        <w:t>，统筹推进贫困人口饮水安全工作，确保农村饮水安全。</w:t>
      </w:r>
    </w:p>
    <w:p>
      <w:pPr>
        <w:pStyle w:val="5"/>
        <w:widowControl/>
        <w:wordWrap w:val="0"/>
        <w:spacing w:beforeAutospacing="0" w:afterAutospacing="0" w:line="360" w:lineRule="auto"/>
        <w:ind w:firstLine="643" w:firstLineChars="200"/>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lang w:val="en-US" w:eastAsia="zh-CN"/>
        </w:rPr>
        <w:t>4、</w:t>
      </w:r>
      <w:r>
        <w:rPr>
          <w:rFonts w:hint="eastAsia" w:ascii="仿宋" w:hAnsi="仿宋" w:eastAsia="仿宋" w:cs="仿宋"/>
          <w:b/>
          <w:bCs/>
          <w:color w:val="333333"/>
          <w:sz w:val="32"/>
          <w:szCs w:val="32"/>
          <w:shd w:val="clear" w:color="auto" w:fill="FFFFFF"/>
        </w:rPr>
        <w:t>扎实推进</w:t>
      </w:r>
      <w:r>
        <w:rPr>
          <w:rFonts w:hint="eastAsia" w:ascii="仿宋" w:hAnsi="仿宋" w:eastAsia="仿宋"/>
          <w:b/>
          <w:bCs/>
          <w:sz w:val="32"/>
          <w:szCs w:val="32"/>
        </w:rPr>
        <w:t>水利</w:t>
      </w:r>
      <w:r>
        <w:rPr>
          <w:rFonts w:hint="eastAsia" w:ascii="仿宋" w:hAnsi="仿宋" w:eastAsia="仿宋" w:cs="仿宋"/>
          <w:b/>
          <w:bCs/>
          <w:sz w:val="32"/>
          <w:szCs w:val="32"/>
        </w:rPr>
        <w:t>工程建设</w:t>
      </w:r>
      <w:r>
        <w:rPr>
          <w:rFonts w:hint="eastAsia" w:ascii="仿宋" w:hAnsi="仿宋" w:eastAsia="仿宋" w:cs="仿宋"/>
          <w:b/>
          <w:bCs/>
          <w:color w:val="333333"/>
          <w:sz w:val="32"/>
          <w:szCs w:val="32"/>
          <w:shd w:val="clear" w:color="auto" w:fill="FFFFFF"/>
        </w:rPr>
        <w:t>项目。</w:t>
      </w:r>
    </w:p>
    <w:p>
      <w:pPr>
        <w:pStyle w:val="9"/>
        <w:ind w:firstLine="640" w:firstLineChars="200"/>
        <w:rPr>
          <w:rFonts w:ascii="仿宋" w:hAnsi="仿宋" w:cs="仿宋"/>
          <w:sz w:val="32"/>
          <w:szCs w:val="32"/>
        </w:rPr>
      </w:pPr>
      <w:r>
        <w:rPr>
          <w:rFonts w:hint="eastAsia" w:ascii="仿宋" w:hAnsi="仿宋" w:cs="仿宋"/>
          <w:sz w:val="32"/>
          <w:szCs w:val="32"/>
        </w:rPr>
        <w:t>累计投入各类水利专项资金1000余万元，治理水土流失面积18平方公里，新修农村防洪堤3000米，解决农村饮水安全3000人。截止2020年1-6月，2018年度京津风沙源治理二期工程水利建设项目已按计划完成投资156万元，完成小流域治理面积3平方公里，修建水源工程10处，节水灌溉水源10处。其中小流域治理工程修建护堤工程700米，封禁治理273.11公顷，栽植苹果14.41公顷，栽植油松12.48公顷；水源工程新打机井4眼，安装机泵4套，建泵房3间；节水灌溉工程布设扬水管路860米，灌溉管路3050米，输水软管3000米，建蓄水池2座，灌溉面积450亩。</w:t>
      </w:r>
    </w:p>
    <w:p>
      <w:pPr>
        <w:pStyle w:val="5"/>
        <w:widowControl/>
        <w:wordWrap w:val="0"/>
        <w:spacing w:beforeAutospacing="0" w:afterAutospacing="0" w:line="36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sz w:val="32"/>
          <w:szCs w:val="32"/>
        </w:rPr>
        <w:t>在市水务局和区管委会的大力协调下，滦河</w:t>
      </w:r>
      <w:r>
        <w:rPr>
          <w:rFonts w:hint="eastAsia" w:ascii="仿宋" w:hAnsi="仿宋" w:eastAsia="仿宋" w:cs="仿宋"/>
          <w:bCs/>
          <w:sz w:val="32"/>
          <w:szCs w:val="32"/>
        </w:rPr>
        <w:t>承德市滦河干流右堤（东营、西营段）除险加固工程正在</w:t>
      </w:r>
      <w:r>
        <w:rPr>
          <w:rFonts w:hint="eastAsia" w:ascii="仿宋" w:hAnsi="仿宋" w:eastAsia="仿宋" w:cs="仿宋"/>
          <w:sz w:val="32"/>
          <w:szCs w:val="32"/>
        </w:rPr>
        <w:t>倒排工期，抢抓进度，全力推进，</w:t>
      </w:r>
      <w:r>
        <w:rPr>
          <w:rFonts w:hint="eastAsia" w:ascii="仿宋" w:hAnsi="仿宋" w:eastAsia="仿宋" w:cs="仿宋"/>
          <w:bCs/>
          <w:sz w:val="32"/>
          <w:szCs w:val="32"/>
        </w:rPr>
        <w:t>进度</w:t>
      </w:r>
      <w:r>
        <w:rPr>
          <w:rFonts w:hint="eastAsia" w:ascii="仿宋" w:hAnsi="仿宋" w:eastAsia="仿宋" w:cs="仿宋"/>
          <w:sz w:val="32"/>
          <w:szCs w:val="32"/>
        </w:rPr>
        <w:t>，截至目前，已完成工程量85%。太平庄污水处理厂</w:t>
      </w:r>
      <w:r>
        <w:rPr>
          <w:rFonts w:hint="eastAsia" w:ascii="仿宋" w:hAnsi="仿宋" w:eastAsia="仿宋" w:cs="仿宋"/>
          <w:kern w:val="0"/>
          <w:sz w:val="32"/>
          <w:szCs w:val="32"/>
        </w:rPr>
        <w:t>尾水湿地工程</w:t>
      </w:r>
      <w:r>
        <w:rPr>
          <w:rFonts w:hint="eastAsia" w:ascii="仿宋_GB2312" w:hAnsi="仿宋_GB2312" w:eastAsia="仿宋_GB2312" w:cs="仿宋_GB2312"/>
          <w:bCs/>
          <w:sz w:val="32"/>
          <w:szCs w:val="32"/>
        </w:rPr>
        <w:t>五月份全面复工以来，已完成工程区域内围挡、树木砍伐工作，堤坝基础开挖完成400米，基础砂石料回填5.5万立方米；清表完成工程量1.4万立方米</w:t>
      </w:r>
      <w:r>
        <w:rPr>
          <w:rFonts w:hint="eastAsia" w:ascii="仿宋" w:hAnsi="仿宋" w:eastAsia="仿宋" w:cs="仿宋"/>
          <w:kern w:val="0"/>
          <w:sz w:val="32"/>
          <w:szCs w:val="32"/>
        </w:rPr>
        <w:t>，</w:t>
      </w:r>
      <w:r>
        <w:rPr>
          <w:rFonts w:hint="eastAsia" w:ascii="仿宋" w:hAnsi="仿宋" w:eastAsia="仿宋" w:cs="仿宋"/>
          <w:sz w:val="32"/>
          <w:szCs w:val="32"/>
        </w:rPr>
        <w:t>确保在2020年10月底前完成全部工程量的90%。</w:t>
      </w:r>
    </w:p>
    <w:p>
      <w:pPr>
        <w:ind w:firstLine="594" w:firstLineChars="185"/>
        <w:rPr>
          <w:rFonts w:eastAsia="仿宋_GB2312"/>
          <w:b/>
          <w:bCs/>
          <w:sz w:val="32"/>
          <w:szCs w:val="32"/>
        </w:rPr>
      </w:pPr>
      <w:r>
        <w:rPr>
          <w:rFonts w:hint="eastAsia" w:eastAsia="仿宋_GB2312"/>
          <w:b/>
          <w:bCs/>
          <w:sz w:val="32"/>
          <w:szCs w:val="32"/>
          <w:lang w:val="en-US" w:eastAsia="zh-CN"/>
        </w:rPr>
        <w:t>5、</w:t>
      </w:r>
      <w:r>
        <w:rPr>
          <w:rFonts w:hint="eastAsia" w:eastAsia="仿宋_GB2312"/>
          <w:b/>
          <w:bCs/>
          <w:sz w:val="32"/>
          <w:szCs w:val="32"/>
        </w:rPr>
        <w:t>强化森林生态保护与建设</w:t>
      </w:r>
    </w:p>
    <w:p>
      <w:pPr>
        <w:ind w:firstLine="592" w:firstLineChars="185"/>
        <w:rPr>
          <w:rFonts w:hint="eastAsia" w:ascii="仿宋" w:hAnsi="仿宋" w:eastAsia="仿宋" w:cs="仿宋"/>
          <w:sz w:val="32"/>
          <w:szCs w:val="32"/>
        </w:rPr>
      </w:pPr>
      <w:r>
        <w:rPr>
          <w:rFonts w:hint="eastAsia" w:eastAsia="仿宋_GB2312"/>
          <w:sz w:val="32"/>
          <w:szCs w:val="32"/>
        </w:rPr>
        <w:t>推行林长制。按照“党政同责，分级负责”的原则，全面构建区、镇、村、组四级林长监管体系，建立各方联动机制，制定公益林、天然林保护修复措施，划定林长责任区，层层落实森林资源保护和管理体系。筑牢生态保护屏障，对森林、林地、湿地、野生动植物实施全方位、深层次、系统性保护。严格规范林地审批管理，提高森林资源管护效率。</w:t>
      </w:r>
      <w:r>
        <w:rPr>
          <w:rFonts w:hint="eastAsia" w:ascii="仿宋" w:hAnsi="仿宋" w:eastAsia="仿宋" w:cs="仿宋"/>
          <w:sz w:val="32"/>
          <w:szCs w:val="32"/>
          <w:shd w:val="clear" w:color="auto" w:fill="FFFFFF"/>
        </w:rPr>
        <w:t>突出森林生态建设，增加森林植被，</w:t>
      </w:r>
      <w:r>
        <w:rPr>
          <w:rFonts w:hint="eastAsia" w:ascii="仿宋" w:hAnsi="仿宋" w:eastAsia="仿宋" w:cs="仿宋"/>
          <w:sz w:val="32"/>
          <w:szCs w:val="32"/>
        </w:rPr>
        <w:t>完成工程造林项目6100亩，经济林项目5000亩，义务植树75万株，</w:t>
      </w:r>
      <w:r>
        <w:rPr>
          <w:rFonts w:hint="eastAsia" w:ascii="仿宋" w:hAnsi="仿宋" w:eastAsia="仿宋" w:cs="仿宋"/>
          <w:bCs/>
          <w:sz w:val="32"/>
          <w:szCs w:val="32"/>
        </w:rPr>
        <w:t>完成松科林地</w:t>
      </w:r>
      <w:r>
        <w:rPr>
          <w:rFonts w:hint="eastAsia" w:ascii="仿宋" w:hAnsi="仿宋" w:eastAsia="仿宋" w:cs="仿宋"/>
          <w:sz w:val="32"/>
          <w:szCs w:val="32"/>
        </w:rPr>
        <w:t>病虫害监测</w:t>
      </w:r>
      <w:r>
        <w:rPr>
          <w:rFonts w:hint="eastAsia" w:ascii="仿宋" w:hAnsi="仿宋" w:eastAsia="仿宋" w:cs="仿宋"/>
          <w:bCs/>
          <w:sz w:val="32"/>
          <w:szCs w:val="32"/>
        </w:rPr>
        <w:t>调查4.79万亩；</w:t>
      </w:r>
      <w:r>
        <w:rPr>
          <w:rFonts w:hint="eastAsia" w:ascii="仿宋" w:hAnsi="仿宋" w:eastAsia="仿宋" w:cs="仿宋"/>
          <w:sz w:val="32"/>
          <w:szCs w:val="32"/>
        </w:rPr>
        <w:t>在18个未纳入城市建设用地的村实施环村绿化林建设264亩，保证村庄绿化覆盖率达到35%以上。近年来，克服种种困难，多次跑市进厅，解决开发区建设林地不能审批问题，共审批包括中德技术大学等重点项目16个，审批林地面积2000多亩，累计征收植被恢复费2800余万元，每年完成天然林保护工程勘测落界7.73万亩，累计发放管护补助587.48余万元；公益林2.92万亩，累计220.02万元。</w:t>
      </w:r>
    </w:p>
    <w:p>
      <w:pPr>
        <w:pStyle w:val="9"/>
      </w:pPr>
      <w:r>
        <w:rPr>
          <w:rFonts w:hint="eastAsia" w:eastAsia="仿宋_GB2312"/>
          <w:b/>
          <w:bCs/>
          <w:sz w:val="32"/>
          <w:szCs w:val="32"/>
        </w:rPr>
        <w:t xml:space="preserve"> </w:t>
      </w:r>
      <w:r>
        <w:rPr>
          <w:rFonts w:hint="eastAsia" w:eastAsia="仿宋_GB2312"/>
          <w:b/>
          <w:bCs/>
          <w:sz w:val="32"/>
          <w:szCs w:val="32"/>
          <w:lang w:val="en-US" w:eastAsia="zh-CN"/>
        </w:rPr>
        <w:t xml:space="preserve">   6、</w:t>
      </w:r>
      <w:r>
        <w:rPr>
          <w:rFonts w:hint="eastAsia" w:eastAsia="仿宋_GB2312"/>
          <w:b/>
          <w:bCs/>
          <w:sz w:val="32"/>
          <w:szCs w:val="32"/>
        </w:rPr>
        <w:t>完善森林防火管理和监督机制</w:t>
      </w:r>
    </w:p>
    <w:p>
      <w:pPr>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rPr>
        <w:t>从管理机制,管理机构,监管维护等方面入手，深入做好防火宣传，</w:t>
      </w:r>
      <w:r>
        <w:rPr>
          <w:rFonts w:hint="eastAsia" w:ascii="仿宋" w:hAnsi="仿宋" w:eastAsia="仿宋" w:cs="仿宋"/>
          <w:sz w:val="32"/>
          <w:szCs w:val="32"/>
          <w:shd w:val="clear" w:color="auto" w:fill="FFFFFF"/>
        </w:rPr>
        <w:t>加强</w:t>
      </w:r>
      <w:r>
        <w:rPr>
          <w:rFonts w:hint="eastAsia" w:ascii="仿宋" w:hAnsi="仿宋" w:eastAsia="仿宋" w:cs="仿宋"/>
          <w:sz w:val="32"/>
          <w:szCs w:val="32"/>
        </w:rPr>
        <w:t>专业扑火队</w:t>
      </w:r>
      <w:r>
        <w:rPr>
          <w:rFonts w:hint="eastAsia" w:ascii="仿宋" w:hAnsi="仿宋" w:eastAsia="仿宋" w:cs="仿宋"/>
          <w:sz w:val="32"/>
          <w:szCs w:val="32"/>
          <w:shd w:val="clear" w:color="auto" w:fill="FFFFFF"/>
        </w:rPr>
        <w:t>伍建设，充分发挥基层护林员队伍在森林防火中的一线作用，建立森林防火工作长效机制，全面提高森林防火综合防控能力，</w:t>
      </w:r>
      <w:r>
        <w:rPr>
          <w:rFonts w:hint="eastAsia" w:ascii="仿宋" w:hAnsi="仿宋" w:eastAsia="仿宋" w:cs="仿宋"/>
          <w:sz w:val="32"/>
          <w:szCs w:val="32"/>
        </w:rPr>
        <w:t>确保全区森林防火工作安全稳定。</w:t>
      </w:r>
    </w:p>
    <w:p>
      <w:pPr>
        <w:adjustRightInd w:val="0"/>
        <w:snapToGrid w:val="0"/>
        <w:spacing w:line="600" w:lineRule="exact"/>
        <w:ind w:firstLine="640" w:firstLineChars="200"/>
        <w:rPr>
          <w:rFonts w:hint="eastAsia" w:ascii="仿宋_GB2312" w:hAnsi="仿宋_GB2312" w:eastAsia="仿宋" w:cs="仿宋_GB2312"/>
          <w:sz w:val="32"/>
          <w:szCs w:val="32"/>
          <w:lang w:eastAsia="zh-CN"/>
        </w:rPr>
      </w:pPr>
      <w:r>
        <w:rPr>
          <w:rFonts w:hint="eastAsia" w:ascii="仿宋" w:hAnsi="仿宋" w:eastAsia="仿宋" w:cs="仿宋"/>
          <w:color w:val="000000"/>
          <w:sz w:val="32"/>
          <w:szCs w:val="32"/>
        </w:rPr>
        <w:t>森林防火工作围绕生态安全，把森林防火做为工作重心，</w:t>
      </w:r>
      <w:r>
        <w:rPr>
          <w:rFonts w:hint="eastAsia" w:ascii="仿宋" w:hAnsi="仿宋" w:eastAsia="仿宋" w:cs="仿宋"/>
          <w:sz w:val="32"/>
          <w:szCs w:val="32"/>
        </w:rPr>
        <w:t>通过网格化管理将防火责任落实到岗、落实到人。</w:t>
      </w:r>
      <w:r>
        <w:rPr>
          <w:rFonts w:hint="eastAsia" w:ascii="仿宋" w:hAnsi="仿宋" w:eastAsia="仿宋"/>
          <w:sz w:val="32"/>
          <w:szCs w:val="32"/>
        </w:rPr>
        <w:t>充分利用广播、短信、张贴宣传标语、悬挂防火条幅等方式，加大宣传力度，提高全区广大干部群众的防火意识。巡查工作做到人防与技防相结合，每天利用无人机进行巡逻、预警。区级专业森林消防大队、镇级消防队按照</w:t>
      </w:r>
      <w:r>
        <w:rPr>
          <w:rFonts w:hint="eastAsia" w:ascii="仿宋" w:hAnsi="仿宋" w:eastAsia="仿宋" w:cs="仿宋"/>
          <w:sz w:val="32"/>
          <w:szCs w:val="32"/>
        </w:rPr>
        <w:t>防火预案，</w:t>
      </w:r>
      <w:r>
        <w:rPr>
          <w:rFonts w:hint="eastAsia" w:ascii="仿宋" w:hAnsi="仿宋" w:eastAsia="仿宋"/>
          <w:sz w:val="32"/>
          <w:szCs w:val="32"/>
        </w:rPr>
        <w:t>全员在岗备勤，</w:t>
      </w:r>
      <w:r>
        <w:rPr>
          <w:rFonts w:hint="eastAsia" w:ascii="仿宋" w:hAnsi="仿宋" w:eastAsia="仿宋" w:cs="黑体"/>
          <w:bCs/>
          <w:sz w:val="32"/>
          <w:szCs w:val="32"/>
          <w:shd w:val="clear" w:color="auto" w:fill="FFFFFF"/>
        </w:rPr>
        <w:t>强化值班值守，</w:t>
      </w:r>
      <w:r>
        <w:rPr>
          <w:rFonts w:hint="eastAsia" w:ascii="仿宋" w:hAnsi="仿宋" w:eastAsia="仿宋"/>
          <w:sz w:val="32"/>
          <w:szCs w:val="32"/>
        </w:rPr>
        <w:t>区防火办、森林公安分局联合对防火工作进行督导检查，始终保持对涉火违法行为严打的高压态势，确保全区防火安全</w:t>
      </w:r>
      <w:r>
        <w:rPr>
          <w:rFonts w:hint="eastAsia" w:ascii="仿宋" w:hAnsi="仿宋" w:eastAsia="仿宋"/>
          <w:sz w:val="32"/>
          <w:szCs w:val="32"/>
          <w:lang w:eastAsia="zh-CN"/>
        </w:rPr>
        <w:t>。</w:t>
      </w:r>
    </w:p>
    <w:p>
      <w:pPr>
        <w:numPr>
          <w:ilvl w:val="0"/>
          <w:numId w:val="2"/>
        </w:numPr>
        <w:adjustRightInd w:val="0"/>
        <w:snapToGrid w:val="0"/>
        <w:spacing w:line="600" w:lineRule="exact"/>
        <w:ind w:left="420" w:leftChars="200"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财政评价项目绩效评价结果</w:t>
      </w:r>
    </w:p>
    <w:p>
      <w:pPr>
        <w:numPr>
          <w:ilvl w:val="0"/>
          <w:numId w:val="0"/>
        </w:numPr>
        <w:adjustRightInd w:val="0"/>
        <w:snapToGrid w:val="0"/>
        <w:spacing w:line="600" w:lineRule="exact"/>
        <w:ind w:left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本部门本年度无财政部门评价项目绩效报告。</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19.47</w:t>
      </w:r>
      <w:r>
        <w:rPr>
          <w:rFonts w:hint="eastAsia" w:ascii="仿宋_GB2312" w:hAnsi="仿宋_GB2312" w:eastAsia="仿宋_GB2312" w:cs="仿宋_GB2312"/>
          <w:sz w:val="32"/>
          <w:szCs w:val="32"/>
        </w:rPr>
        <w:t>万元，比2019年度减少</w:t>
      </w:r>
      <w:r>
        <w:rPr>
          <w:rFonts w:hint="eastAsia" w:ascii="仿宋_GB2312" w:hAnsi="仿宋_GB2312" w:eastAsia="仿宋_GB2312" w:cs="仿宋_GB2312"/>
          <w:sz w:val="32"/>
          <w:szCs w:val="32"/>
          <w:lang w:val="en-US" w:eastAsia="zh-CN"/>
        </w:rPr>
        <w:t>18.31</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48.46</w:t>
      </w:r>
      <w:r>
        <w:rPr>
          <w:rFonts w:hint="eastAsia" w:ascii="仿宋_GB2312" w:hAnsi="仿宋_GB2312" w:eastAsia="仿宋_GB2312" w:cs="仿宋_GB2312"/>
          <w:sz w:val="32"/>
          <w:szCs w:val="32"/>
        </w:rPr>
        <w:t>%。主要原因是是</w:t>
      </w:r>
      <w:r>
        <w:rPr>
          <w:rFonts w:hint="eastAsia" w:ascii="仿宋_GB2312" w:hAnsi="Times New Roman" w:eastAsia="仿宋_GB2312" w:cs="DengXian-Regular"/>
          <w:sz w:val="32"/>
          <w:szCs w:val="32"/>
        </w:rPr>
        <w:t>响应国家号召，减少开支。</w:t>
      </w:r>
    </w:p>
    <w:p>
      <w:pPr>
        <w:keepNext/>
        <w:keepLines/>
        <w:snapToGrid w:val="0"/>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万元，从采购类型来看，</w:t>
      </w:r>
      <w:r>
        <w:rPr>
          <w:rFonts w:hint="eastAsia"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截至2020年12月31日，本部门共有车辆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辆，主要是车改后部门没有公务用车。其中，副部（省）级及以上领导用车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辆，其他用车主要是车改后部门没有公务用车</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套，主要是车改后部门没有公务用车，单位价值100万元以上专用设备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套，主要是车改后部门没有公务用车。</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政府性基金预算财政拨款收入支出、国有资本经营预算财政拨款支出、政府采购无收支及结转结余情况，故政府性基金预算财政拨款收入支出决算表、国有资本经营预算财政拨款支出决算表、政府采购情况表以空表列示。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hint="eastAsia"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r>
        <w:rPr>
          <w:sz w:val="72"/>
        </w:rPr>
        <mc:AlternateContent>
          <mc:Choice Requires="wps">
            <w:drawing>
              <wp:anchor distT="0" distB="0" distL="114300" distR="114300" simplePos="0" relativeHeight="251660288" behindDoc="0" locked="0" layoutInCell="1" allowOverlap="1">
                <wp:simplePos x="0" y="0"/>
                <wp:positionH relativeFrom="column">
                  <wp:posOffset>-1022350</wp:posOffset>
                </wp:positionH>
                <wp:positionV relativeFrom="paragraph">
                  <wp:posOffset>201930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5pt;margin-top:15.9pt;height:263.1pt;width:613.65pt;z-index:251660288;v-text-anchor:middle;mso-width-relative:page;mso-height-relative:page;" fillcolor="#7F7F7F [1612]" filled="t" stroked="t" coordsize="21600,21600" o:gfxdata="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0jT7ZAAAADAEAAA8A&#10;AAAAAAAAAQAgAAAAIgAAAGRycy9kb3ducmV2LnhtbFBLAQIUABQAAAAIAIdO4kDBnZ8JiAIAAEwF&#10;AAAOAAAAAAAAAAEAIAAAACgBAABkcnMvZTJvRG9jLnhtbFBLBQYAAAAABgAGAFkBAAAiBgAAAAA=&#10;">
                <v:fill type="pattern" on="t" color2="#FFFFFF [3212]" o:title="5%" focussize="0,0" r:id="rId13"/>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11"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2336" behindDoc="0" locked="0" layoutInCell="1" allowOverlap="1">
                <wp:simplePos x="0" y="0"/>
                <wp:positionH relativeFrom="column">
                  <wp:posOffset>-1027430</wp:posOffset>
                </wp:positionH>
                <wp:positionV relativeFrom="paragraph">
                  <wp:posOffset>1151255</wp:posOffset>
                </wp:positionV>
                <wp:extent cx="7793355" cy="3341370"/>
                <wp:effectExtent l="6350" t="6350" r="10795" b="2413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2336;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3"/>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tbl>
      <w:tblPr>
        <w:tblStyle w:val="6"/>
        <w:tblpPr w:leftFromText="180" w:rightFromText="180" w:vertAnchor="text" w:horzAnchor="page" w:tblpXSpec="center" w:tblpY="31"/>
        <w:tblOverlap w:val="never"/>
        <w:tblW w:w="9434" w:type="dxa"/>
        <w:jc w:val="center"/>
        <w:tblLayout w:type="fixed"/>
        <w:tblCellMar>
          <w:top w:w="0" w:type="dxa"/>
          <w:left w:w="0" w:type="dxa"/>
          <w:bottom w:w="0" w:type="dxa"/>
          <w:right w:w="0" w:type="dxa"/>
        </w:tblCellMar>
      </w:tblPr>
      <w:tblGrid>
        <w:gridCol w:w="2850"/>
        <w:gridCol w:w="660"/>
        <w:gridCol w:w="1107"/>
        <w:gridCol w:w="2973"/>
        <w:gridCol w:w="675"/>
        <w:gridCol w:w="1169"/>
      </w:tblGrid>
      <w:tr>
        <w:tblPrEx>
          <w:tblCellMar>
            <w:top w:w="0" w:type="dxa"/>
            <w:left w:w="0" w:type="dxa"/>
            <w:bottom w:w="0" w:type="dxa"/>
            <w:right w:w="0" w:type="dxa"/>
          </w:tblCellMar>
        </w:tblPrEx>
        <w:trPr>
          <w:trHeight w:val="499"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09" w:hRule="atLeast"/>
          <w:jc w:val="center"/>
        </w:trPr>
        <w:tc>
          <w:tcPr>
            <w:tcW w:w="285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6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7"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430" w:hRule="atLeast"/>
          <w:jc w:val="center"/>
        </w:trPr>
        <w:tc>
          <w:tcPr>
            <w:tcW w:w="2850"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66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7"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90" w:hRule="atLeast"/>
          <w:jc w:val="center"/>
        </w:trPr>
        <w:tc>
          <w:tcPr>
            <w:tcW w:w="46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收入</w:t>
            </w:r>
          </w:p>
        </w:tc>
        <w:tc>
          <w:tcPr>
            <w:tcW w:w="481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支出</w:t>
            </w:r>
          </w:p>
        </w:tc>
      </w:tr>
      <w:tr>
        <w:tblPrEx>
          <w:tblCellMar>
            <w:top w:w="0" w:type="dxa"/>
            <w:left w:w="0" w:type="dxa"/>
            <w:bottom w:w="0" w:type="dxa"/>
            <w:right w:w="0" w:type="dxa"/>
          </w:tblCellMar>
        </w:tblPrEx>
        <w:trPr>
          <w:trHeight w:val="37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1012</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5</w:t>
            </w: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185"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三、上级补助收入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四、事业收入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五、经营收入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六、附属单位上缴收入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七、其他收入</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九、卫生健康支出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十、节能环保支出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center" w:pos="404"/>
                <w:tab w:val="right" w:pos="1108"/>
              </w:tabs>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eastAsia="zh-CN" w:bidi="ar"/>
              </w:rPr>
              <w:t>58</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eastAsia="zh-CN" w:bidi="ar"/>
              </w:rPr>
              <w:t>6</w:t>
            </w: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十一、城乡社区支出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十二、农林水支出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738.05</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十三、交通运输支出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十四、资源勘探信息等支出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十五、商业服务业等支出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十六、金融支出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十七、援助其他地区支出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十八、自然资源海洋气象等支出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十九、住房保障支出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二十、粮油物资储备支出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二十一、灾害防治及应急管理支出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10.94</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二十二、其他支出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二十四、债务付息支出</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本年收入合计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1012</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5</w:t>
            </w: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本年支出合计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807.67</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用事业基金弥补收支差额</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结余分配</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90"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年初结转和结余</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年末结转和结余</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204.90</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28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6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1012</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5</w:t>
            </w: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bidi="ar"/>
              </w:rPr>
              <w:t>　</w:t>
            </w:r>
          </w:p>
        </w:tc>
        <w:tc>
          <w:tcPr>
            <w:tcW w:w="29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11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1012</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5</w:t>
            </w:r>
            <w:r>
              <w:rPr>
                <w:rFonts w:hint="eastAsia" w:ascii="宋体" w:hAnsi="宋体" w:eastAsia="宋体" w:cs="宋体"/>
                <w:color w:val="000000"/>
                <w:kern w:val="0"/>
                <w:sz w:val="18"/>
                <w:szCs w:val="18"/>
                <w:lang w:val="en-US" w:eastAsia="zh-CN" w:bidi="ar"/>
              </w:rPr>
              <w:t>7</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18"/>
                <w:szCs w:val="18"/>
                <w:lang w:bidi="ar"/>
              </w:rPr>
            </w:pPr>
            <w:r>
              <w:rPr>
                <w:rFonts w:hint="eastAsia" w:ascii="宋体" w:hAnsi="宋体" w:eastAsia="宋体" w:cs="宋体"/>
                <w:color w:val="000000"/>
                <w:kern w:val="0"/>
                <w:sz w:val="18"/>
                <w:szCs w:val="18"/>
                <w:lang w:bidi="ar"/>
              </w:rPr>
              <w:t>注：本表反映部门本年度的总收支和年末结转结余情况。</w:t>
            </w:r>
          </w:p>
          <w:p>
            <w:pPr>
              <w:widowControl/>
              <w:jc w:val="left"/>
              <w:textAlignment w:val="center"/>
              <w:rPr>
                <w:rFonts w:ascii="宋体" w:hAnsi="宋体" w:eastAsia="宋体" w:cs="宋体"/>
                <w:color w:val="000000"/>
                <w:kern w:val="0"/>
                <w:sz w:val="18"/>
                <w:szCs w:val="18"/>
                <w:lang w:bidi="ar"/>
              </w:rPr>
            </w:pPr>
          </w:p>
        </w:tc>
      </w:tr>
    </w:tbl>
    <w:tbl>
      <w:tblPr>
        <w:tblStyle w:val="6"/>
        <w:tblW w:w="9580" w:type="dxa"/>
        <w:jc w:val="center"/>
        <w:tblLayout w:type="autofit"/>
        <w:tblCellMar>
          <w:top w:w="0" w:type="dxa"/>
          <w:left w:w="0" w:type="dxa"/>
          <w:bottom w:w="0" w:type="dxa"/>
          <w:right w:w="0" w:type="dxa"/>
        </w:tblCellMar>
      </w:tblPr>
      <w:tblGrid>
        <w:gridCol w:w="718"/>
        <w:gridCol w:w="41"/>
        <w:gridCol w:w="41"/>
        <w:gridCol w:w="2450"/>
        <w:gridCol w:w="1009"/>
        <w:gridCol w:w="1009"/>
        <w:gridCol w:w="882"/>
        <w:gridCol w:w="882"/>
        <w:gridCol w:w="882"/>
        <w:gridCol w:w="882"/>
        <w:gridCol w:w="884"/>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101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11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CellMar>
            <w:top w:w="0" w:type="dxa"/>
            <w:left w:w="0" w:type="dxa"/>
            <w:bottom w:w="0" w:type="dxa"/>
            <w:right w:w="0" w:type="dxa"/>
          </w:tblCellMar>
        </w:tblPrEx>
        <w:trPr>
          <w:trHeight w:val="380"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rPr>
            </w:pPr>
            <w:r>
              <w:rPr>
                <w:rFonts w:hint="eastAsia" w:ascii="宋体" w:hAnsi="宋体" w:eastAsia="宋体" w:cs="宋体"/>
                <w:b/>
                <w:color w:val="000000"/>
                <w:sz w:val="18"/>
                <w:szCs w:val="18"/>
              </w:rPr>
              <w:t>1012</w:t>
            </w:r>
            <w:r>
              <w:rPr>
                <w:rFonts w:hint="eastAsia" w:ascii="宋体" w:hAnsi="宋体" w:eastAsia="宋体" w:cs="宋体"/>
                <w:b/>
                <w:color w:val="000000"/>
                <w:sz w:val="18"/>
                <w:szCs w:val="18"/>
                <w:lang w:val="en-US" w:eastAsia="zh-CN"/>
              </w:rPr>
              <w:t>.57</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rPr>
            </w:pPr>
            <w:r>
              <w:rPr>
                <w:rFonts w:hint="eastAsia" w:ascii="宋体" w:hAnsi="宋体" w:eastAsia="宋体" w:cs="宋体"/>
                <w:b/>
                <w:color w:val="000000"/>
                <w:sz w:val="18"/>
                <w:szCs w:val="18"/>
              </w:rPr>
              <w:t>1012</w:t>
            </w:r>
            <w:r>
              <w:rPr>
                <w:rFonts w:hint="eastAsia" w:ascii="宋体" w:hAnsi="宋体" w:eastAsia="宋体" w:cs="宋体"/>
                <w:b/>
                <w:color w:val="000000"/>
                <w:sz w:val="18"/>
                <w:szCs w:val="18"/>
                <w:lang w:val="en-US" w:eastAsia="zh-CN"/>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节能环保支出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4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退耕还林还草</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2110602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退耕现金</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913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913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农业农村</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其他农业农村支出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林业和草原</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行政运行</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森林资源培育</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6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森林生态效益补偿</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02</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水利</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249</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2</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249</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防汛</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.63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4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农村水利</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农村人畜饮水</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其他水利支出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4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普惠金融发展支出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农业保险保费补贴</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其他农林水支出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4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其他农林水支出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7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灾害防治及应急管理支出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7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22402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消防事务</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2240204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消防应急救援</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6"/>
        <w:tblW w:w="9513" w:type="dxa"/>
        <w:jc w:val="center"/>
        <w:tblLayout w:type="fixed"/>
        <w:tblCellMar>
          <w:top w:w="0" w:type="dxa"/>
          <w:left w:w="0" w:type="dxa"/>
          <w:bottom w:w="0" w:type="dxa"/>
          <w:right w:w="0" w:type="dxa"/>
        </w:tblCellMar>
      </w:tblPr>
      <w:tblGrid>
        <w:gridCol w:w="941"/>
        <w:gridCol w:w="53"/>
        <w:gridCol w:w="111"/>
        <w:gridCol w:w="1755"/>
        <w:gridCol w:w="1050"/>
        <w:gridCol w:w="1080"/>
        <w:gridCol w:w="870"/>
        <w:gridCol w:w="1248"/>
        <w:gridCol w:w="1002"/>
        <w:gridCol w:w="1403"/>
      </w:tblGrid>
      <w:tr>
        <w:tblPrEx>
          <w:tblCellMar>
            <w:top w:w="0" w:type="dxa"/>
            <w:left w:w="0" w:type="dxa"/>
            <w:bottom w:w="0" w:type="dxa"/>
            <w:right w:w="0" w:type="dxa"/>
          </w:tblCellMar>
        </w:tblPrEx>
        <w:trPr>
          <w:trHeight w:val="612" w:hRule="atLeast"/>
          <w:jc w:val="center"/>
        </w:trPr>
        <w:tc>
          <w:tcPr>
            <w:tcW w:w="9513"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7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0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403"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7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40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8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124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100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40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75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8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2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0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4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2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0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trHeight w:val="323" w:hRule="atLeast"/>
          <w:jc w:val="center"/>
        </w:trPr>
        <w:tc>
          <w:tcPr>
            <w:tcW w:w="2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rPr>
              <w:t>1012</w:t>
            </w:r>
            <w:r>
              <w:rPr>
                <w:rFonts w:hint="eastAsia" w:ascii="宋体" w:hAnsi="宋体" w:eastAsia="宋体" w:cs="宋体"/>
                <w:b/>
                <w:color w:val="000000"/>
                <w:sz w:val="18"/>
                <w:szCs w:val="18"/>
                <w:lang w:val="en-US" w:eastAsia="zh-CN"/>
              </w:rPr>
              <w:t>.57</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1012</w:t>
            </w:r>
            <w:r>
              <w:rPr>
                <w:rFonts w:hint="eastAsia" w:ascii="宋体" w:hAnsi="宋体" w:eastAsia="宋体" w:cs="宋体"/>
                <w:b/>
                <w:color w:val="000000"/>
                <w:sz w:val="18"/>
                <w:szCs w:val="18"/>
                <w:lang w:val="en-US" w:eastAsia="zh-CN"/>
              </w:rPr>
              <w:t>.57</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211</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节能环保支出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21106</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退耕还林还草</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2110602</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退耕现金</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农林水支出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913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3</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913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3</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21301</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农业农村</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2130101</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2130199</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其他农业农村支出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21302</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林业和草原</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541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51</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2130201</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2130205</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森林资源培育</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2130209</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森林生态效益补偿</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170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02</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02</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21303</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水利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249</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2</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249</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2</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2130314</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防汛</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.63</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.63</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2130316</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农村水利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75</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75</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2130335</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农村人畜饮水</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2130399</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其他水利支出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194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21308</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普惠金融发展支出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2130803</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农业保险保费补贴</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21399</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其他农林水支出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2139999</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其他农林水支出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224</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灾害防治及应急管理支出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22402</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消防事务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2240204</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消防应急救援</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513"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1174"/>
        <w:gridCol w:w="67"/>
        <w:gridCol w:w="67"/>
        <w:gridCol w:w="2785"/>
        <w:gridCol w:w="1239"/>
        <w:gridCol w:w="1741"/>
        <w:gridCol w:w="2160"/>
        <w:gridCol w:w="287"/>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gridAfter w:val="1"/>
          <w:wAfter w:w="287" w:type="dxa"/>
          <w:trHeight w:val="600" w:hRule="atLeast"/>
          <w:jc w:val="center"/>
        </w:trPr>
        <w:tc>
          <w:tcPr>
            <w:tcW w:w="9233" w:type="dxa"/>
            <w:gridSpan w:val="7"/>
            <w:tcBorders>
              <w:top w:val="nil"/>
              <w:left w:val="nil"/>
              <w:bottom w:val="nil"/>
              <w:right w:val="nil"/>
            </w:tcBorders>
            <w:shd w:val="clear" w:color="auto" w:fill="auto"/>
            <w:noWrap/>
            <w:tcMar>
              <w:top w:w="15" w:type="dxa"/>
              <w:left w:w="15" w:type="dxa"/>
              <w:right w:w="15" w:type="dxa"/>
            </w:tcMar>
            <w:vAlign w:val="center"/>
          </w:tcPr>
          <w:tbl>
            <w:tblPr>
              <w:tblStyle w:val="6"/>
              <w:tblW w:w="9736" w:type="dxa"/>
              <w:tblInd w:w="0" w:type="dxa"/>
              <w:tblLayout w:type="fixed"/>
              <w:tblCellMar>
                <w:top w:w="0" w:type="dxa"/>
                <w:left w:w="108" w:type="dxa"/>
                <w:bottom w:w="0" w:type="dxa"/>
                <w:right w:w="108" w:type="dxa"/>
              </w:tblCellMar>
            </w:tblPr>
            <w:tblGrid>
              <w:gridCol w:w="2078"/>
              <w:gridCol w:w="435"/>
              <w:gridCol w:w="1170"/>
              <w:gridCol w:w="2265"/>
              <w:gridCol w:w="484"/>
              <w:gridCol w:w="986"/>
              <w:gridCol w:w="960"/>
              <w:gridCol w:w="253"/>
              <w:gridCol w:w="853"/>
              <w:gridCol w:w="252"/>
            </w:tblGrid>
            <w:tr>
              <w:tblPrEx>
                <w:tblCellMar>
                  <w:top w:w="0" w:type="dxa"/>
                  <w:left w:w="108" w:type="dxa"/>
                  <w:bottom w:w="0" w:type="dxa"/>
                  <w:right w:w="108" w:type="dxa"/>
                </w:tblCellMar>
              </w:tblPrEx>
              <w:trPr>
                <w:gridAfter w:val="1"/>
                <w:wAfter w:w="252" w:type="dxa"/>
                <w:trHeight w:val="90" w:hRule="atLeast"/>
              </w:trPr>
              <w:tc>
                <w:tcPr>
                  <w:tcW w:w="2078"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3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17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2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84"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98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066"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1"/>
                <w:wAfter w:w="252" w:type="dxa"/>
                <w:trHeight w:val="90" w:hRule="atLeast"/>
              </w:trPr>
              <w:tc>
                <w:tcPr>
                  <w:tcW w:w="2078" w:type="dxa"/>
                  <w:tcBorders>
                    <w:top w:val="nil"/>
                    <w:left w:val="nil"/>
                    <w:bottom w:val="nil"/>
                    <w:right w:val="nil"/>
                  </w:tcBorders>
                  <w:shd w:val="clear" w:color="auto" w:fill="auto"/>
                  <w:vAlign w:val="bottom"/>
                </w:tcPr>
                <w:p>
                  <w:pPr>
                    <w:widowControl/>
                    <w:spacing w:line="240" w:lineRule="exact"/>
                    <w:jc w:val="left"/>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部门：</w:t>
                  </w:r>
                </w:p>
              </w:tc>
              <w:tc>
                <w:tcPr>
                  <w:tcW w:w="435" w:type="dxa"/>
                  <w:tcBorders>
                    <w:top w:val="nil"/>
                    <w:left w:val="nil"/>
                    <w:bottom w:val="nil"/>
                    <w:right w:val="nil"/>
                  </w:tcBorders>
                  <w:shd w:val="clear" w:color="auto" w:fill="auto"/>
                  <w:vAlign w:val="bottom"/>
                </w:tcPr>
                <w:p>
                  <w:pPr>
                    <w:widowControl/>
                    <w:spacing w:line="240" w:lineRule="exact"/>
                    <w:jc w:val="left"/>
                    <w:rPr>
                      <w:rFonts w:hint="eastAsia" w:ascii="宋体" w:hAnsi="宋体" w:eastAsia="宋体" w:cs="Arial"/>
                      <w:color w:val="000000"/>
                      <w:kern w:val="0"/>
                      <w:sz w:val="15"/>
                      <w:szCs w:val="15"/>
                    </w:rPr>
                  </w:pPr>
                </w:p>
              </w:tc>
              <w:tc>
                <w:tcPr>
                  <w:tcW w:w="117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2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84"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98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96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106"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1"/>
                <w:wAfter w:w="252" w:type="dxa"/>
                <w:trHeight w:val="90" w:hRule="atLeast"/>
              </w:trPr>
              <w:tc>
                <w:tcPr>
                  <w:tcW w:w="3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801"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1"/>
                <w:wAfter w:w="252" w:type="dxa"/>
                <w:trHeight w:val="312" w:hRule="atLeast"/>
              </w:trPr>
              <w:tc>
                <w:tcPr>
                  <w:tcW w:w="207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117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2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98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96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25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CellMar>
                  <w:top w:w="0" w:type="dxa"/>
                  <w:left w:w="108" w:type="dxa"/>
                  <w:bottom w:w="0" w:type="dxa"/>
                  <w:right w:w="108" w:type="dxa"/>
                </w:tblCellMar>
              </w:tblPrEx>
              <w:trPr>
                <w:trHeight w:val="90" w:hRule="atLeast"/>
              </w:trPr>
              <w:tc>
                <w:tcPr>
                  <w:tcW w:w="207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43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1170"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26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484"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98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960"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53"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1012.57</w:t>
                  </w: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eastAsia="zh-CN"/>
                    </w:rPr>
                  </w:pPr>
                  <w:r>
                    <w:rPr>
                      <w:rFonts w:hint="eastAsia" w:ascii="宋体" w:hAnsi="宋体" w:eastAsia="宋体" w:cs="Arial"/>
                      <w:color w:val="000000"/>
                      <w:kern w:val="0"/>
                      <w:sz w:val="15"/>
                      <w:szCs w:val="15"/>
                    </w:rPr>
                    <w:t>58</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6</w:t>
                  </w:r>
                  <w:r>
                    <w:rPr>
                      <w:rFonts w:hint="eastAsia" w:ascii="宋体" w:hAnsi="宋体" w:eastAsia="宋体" w:cs="Arial"/>
                      <w:color w:val="000000"/>
                      <w:kern w:val="0"/>
                      <w:sz w:val="15"/>
                      <w:szCs w:val="15"/>
                      <w:lang w:val="en-US" w:eastAsia="zh-CN"/>
                    </w:rPr>
                    <w:t>8</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rPr>
                    <w:t>58</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6</w:t>
                  </w:r>
                  <w:r>
                    <w:rPr>
                      <w:rFonts w:hint="eastAsia" w:ascii="宋体" w:hAnsi="宋体" w:eastAsia="宋体" w:cs="Arial"/>
                      <w:color w:val="000000"/>
                      <w:kern w:val="0"/>
                      <w:sz w:val="15"/>
                      <w:szCs w:val="15"/>
                      <w:lang w:val="en-US" w:eastAsia="zh-CN"/>
                    </w:rPr>
                    <w:t>8</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eastAsia="zh-CN"/>
                    </w:rPr>
                  </w:pPr>
                  <w:r>
                    <w:rPr>
                      <w:rFonts w:hint="eastAsia" w:ascii="宋体" w:hAnsi="宋体" w:eastAsia="宋体" w:cs="Arial"/>
                      <w:color w:val="000000"/>
                      <w:kern w:val="0"/>
                      <w:sz w:val="15"/>
                      <w:szCs w:val="15"/>
                    </w:rPr>
                    <w:t>738</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05</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rPr>
                    <w:t>738</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05</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eastAsia="zh-CN"/>
                    </w:rPr>
                  </w:pPr>
                  <w:r>
                    <w:rPr>
                      <w:rFonts w:hint="eastAsia" w:ascii="宋体" w:hAnsi="宋体" w:eastAsia="宋体" w:cs="Arial"/>
                      <w:color w:val="000000"/>
                      <w:kern w:val="0"/>
                      <w:sz w:val="15"/>
                      <w:szCs w:val="15"/>
                    </w:rPr>
                    <w:t>10</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9</w:t>
                  </w:r>
                  <w:r>
                    <w:rPr>
                      <w:rFonts w:hint="eastAsia" w:ascii="宋体" w:hAnsi="宋体" w:eastAsia="宋体" w:cs="Arial"/>
                      <w:color w:val="000000"/>
                      <w:kern w:val="0"/>
                      <w:sz w:val="15"/>
                      <w:szCs w:val="15"/>
                      <w:lang w:val="en-US" w:eastAsia="zh-CN"/>
                    </w:rPr>
                    <w:t>4</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rPr>
                    <w:t>10</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9</w:t>
                  </w:r>
                  <w:r>
                    <w:rPr>
                      <w:rFonts w:hint="eastAsia" w:ascii="宋体" w:hAnsi="宋体" w:eastAsia="宋体" w:cs="Arial"/>
                      <w:color w:val="000000"/>
                      <w:kern w:val="0"/>
                      <w:sz w:val="15"/>
                      <w:szCs w:val="15"/>
                      <w:lang w:val="en-US" w:eastAsia="zh-CN"/>
                    </w:rPr>
                    <w:t>4</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1012.57</w:t>
                  </w: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807</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6</w:t>
                  </w:r>
                  <w:r>
                    <w:rPr>
                      <w:rFonts w:hint="eastAsia" w:ascii="宋体" w:hAnsi="宋体" w:eastAsia="宋体" w:cs="Arial"/>
                      <w:color w:val="000000"/>
                      <w:kern w:val="0"/>
                      <w:sz w:val="15"/>
                      <w:szCs w:val="15"/>
                      <w:lang w:val="en-US" w:eastAsia="zh-CN"/>
                    </w:rPr>
                    <w:t>7</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rPr>
                    <w:t>807</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6</w:t>
                  </w:r>
                  <w:r>
                    <w:rPr>
                      <w:rFonts w:hint="eastAsia" w:ascii="宋体" w:hAnsi="宋体" w:eastAsia="宋体" w:cs="Arial"/>
                      <w:color w:val="000000"/>
                      <w:kern w:val="0"/>
                      <w:sz w:val="15"/>
                      <w:szCs w:val="15"/>
                      <w:lang w:val="en-US" w:eastAsia="zh-CN"/>
                    </w:rPr>
                    <w:t>7</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rPr>
                    <w:t>204</w:t>
                  </w:r>
                  <w:r>
                    <w:rPr>
                      <w:rFonts w:hint="eastAsia" w:ascii="宋体" w:hAnsi="宋体" w:eastAsia="宋体" w:cs="Arial"/>
                      <w:color w:val="000000"/>
                      <w:kern w:val="0"/>
                      <w:sz w:val="15"/>
                      <w:szCs w:val="15"/>
                      <w:lang w:val="en-US" w:eastAsia="zh-CN"/>
                    </w:rPr>
                    <w:t>.9</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rPr>
                    <w:t>204</w:t>
                  </w:r>
                  <w:r>
                    <w:rPr>
                      <w:rFonts w:hint="eastAsia" w:ascii="宋体" w:hAnsi="宋体" w:eastAsia="宋体" w:cs="Arial"/>
                      <w:color w:val="000000"/>
                      <w:kern w:val="0"/>
                      <w:sz w:val="15"/>
                      <w:szCs w:val="15"/>
                      <w:lang w:val="en-US" w:eastAsia="zh-CN"/>
                    </w:rPr>
                    <w:t>.9</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宋体" w:hAnsi="宋体" w:eastAsia="宋体" w:cs="Arial"/>
                      <w:color w:val="000000"/>
                      <w:kern w:val="0"/>
                      <w:sz w:val="15"/>
                      <w:szCs w:val="15"/>
                    </w:rPr>
                  </w:pP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35" w:type="dxa"/>
                  <w:tcBorders>
                    <w:top w:val="nil"/>
                    <w:left w:val="nil"/>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rPr>
                    <w:t>1012</w:t>
                  </w:r>
                  <w:r>
                    <w:rPr>
                      <w:rFonts w:hint="eastAsia" w:ascii="宋体" w:hAnsi="宋体" w:eastAsia="宋体" w:cs="Arial"/>
                      <w:color w:val="000000"/>
                      <w:kern w:val="0"/>
                      <w:sz w:val="15"/>
                      <w:szCs w:val="15"/>
                      <w:lang w:val="en-US" w:eastAsia="zh-CN"/>
                    </w:rPr>
                    <w:t>.57</w:t>
                  </w: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rPr>
                    <w:t>1012</w:t>
                  </w:r>
                  <w:r>
                    <w:rPr>
                      <w:rFonts w:hint="eastAsia" w:ascii="宋体" w:hAnsi="宋体" w:eastAsia="宋体" w:cs="Arial"/>
                      <w:color w:val="000000"/>
                      <w:kern w:val="0"/>
                      <w:sz w:val="15"/>
                      <w:szCs w:val="15"/>
                      <w:lang w:val="en-US" w:eastAsia="zh-CN"/>
                    </w:rPr>
                    <w:t>.57</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1012</w:t>
                  </w:r>
                  <w:r>
                    <w:rPr>
                      <w:rFonts w:hint="eastAsia" w:ascii="宋体" w:hAnsi="宋体" w:eastAsia="宋体" w:cs="Arial"/>
                      <w:color w:val="000000"/>
                      <w:kern w:val="0"/>
                      <w:sz w:val="15"/>
                      <w:szCs w:val="15"/>
                      <w:lang w:val="en-US" w:eastAsia="zh-CN"/>
                    </w:rPr>
                    <w:t>.57</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gridAfter w:val="1"/>
          <w:wAfter w:w="287" w:type="dxa"/>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7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3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390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gridAfter w:val="1"/>
          <w:wAfter w:w="287" w:type="dxa"/>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7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3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390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gridAfter w:val="1"/>
          <w:wAfter w:w="287" w:type="dxa"/>
          <w:trHeight w:val="308" w:hRule="atLeast"/>
          <w:jc w:val="center"/>
        </w:trPr>
        <w:tc>
          <w:tcPr>
            <w:tcW w:w="40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51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gridAfter w:val="1"/>
          <w:wAfter w:w="287" w:type="dxa"/>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278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2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17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1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gridAfter w:val="1"/>
          <w:wAfter w:w="287" w:type="dxa"/>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8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2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287" w:type="dxa"/>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8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2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287" w:type="dxa"/>
          <w:trHeight w:val="308" w:hRule="atLeast"/>
          <w:jc w:val="center"/>
        </w:trPr>
        <w:tc>
          <w:tcPr>
            <w:tcW w:w="409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gridAfter w:val="1"/>
          <w:wAfter w:w="287" w:type="dxa"/>
          <w:trHeight w:val="287" w:hRule="atLeast"/>
          <w:jc w:val="center"/>
        </w:trPr>
        <w:tc>
          <w:tcPr>
            <w:tcW w:w="409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rPr>
              <w:t>807</w:t>
            </w:r>
            <w:r>
              <w:rPr>
                <w:rFonts w:hint="eastAsia" w:ascii="宋体" w:hAnsi="宋体" w:eastAsia="宋体" w:cs="宋体"/>
                <w:b/>
                <w:color w:val="000000"/>
                <w:sz w:val="18"/>
                <w:szCs w:val="18"/>
                <w:lang w:val="en-US" w:eastAsia="zh-CN"/>
              </w:rPr>
              <w:t>.67</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376</w:t>
            </w:r>
            <w:r>
              <w:rPr>
                <w:rFonts w:hint="eastAsia" w:ascii="宋体" w:hAnsi="宋体" w:eastAsia="宋体" w:cs="宋体"/>
                <w:b/>
                <w:color w:val="000000"/>
                <w:sz w:val="18"/>
                <w:szCs w:val="18"/>
                <w:lang w:val="en-US" w:eastAsia="zh-CN"/>
              </w:rPr>
              <w:t>.</w:t>
            </w:r>
            <w:r>
              <w:rPr>
                <w:rFonts w:hint="eastAsia" w:ascii="宋体" w:hAnsi="宋体" w:eastAsia="宋体" w:cs="宋体"/>
                <w:b/>
                <w:color w:val="000000"/>
                <w:sz w:val="18"/>
                <w:szCs w:val="18"/>
              </w:rPr>
              <w:t>95</w:t>
            </w: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430</w:t>
            </w:r>
            <w:r>
              <w:rPr>
                <w:rFonts w:hint="eastAsia" w:ascii="宋体" w:hAnsi="宋体" w:eastAsia="宋体" w:cs="宋体"/>
                <w:b/>
                <w:color w:val="000000"/>
                <w:sz w:val="18"/>
                <w:szCs w:val="18"/>
                <w:lang w:val="en-US" w:eastAsia="zh-CN"/>
              </w:rPr>
              <w:t>.</w:t>
            </w:r>
            <w:r>
              <w:rPr>
                <w:rFonts w:hint="eastAsia" w:ascii="宋体" w:hAnsi="宋体" w:eastAsia="宋体" w:cs="宋体"/>
                <w:b/>
                <w:color w:val="000000"/>
                <w:sz w:val="18"/>
                <w:szCs w:val="18"/>
              </w:rPr>
              <w:t>71</w:t>
            </w:r>
          </w:p>
        </w:tc>
      </w:tr>
      <w:tr>
        <w:tblPrEx>
          <w:tblCellMar>
            <w:top w:w="0" w:type="dxa"/>
            <w:left w:w="0" w:type="dxa"/>
            <w:bottom w:w="0" w:type="dxa"/>
            <w:right w:w="0" w:type="dxa"/>
          </w:tblCellMar>
        </w:tblPrEx>
        <w:trPr>
          <w:gridAfter w:val="1"/>
          <w:wAfter w:w="287" w:type="dxa"/>
          <w:trHeight w:val="257"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211</w:t>
            </w:r>
          </w:p>
        </w:tc>
        <w:tc>
          <w:tcPr>
            <w:tcW w:w="2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节能环保支出</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6</w:t>
            </w:r>
            <w:r>
              <w:rPr>
                <w:rFonts w:hint="eastAsia" w:ascii="宋体" w:hAnsi="宋体" w:eastAsia="宋体" w:cs="宋体"/>
                <w:color w:val="000000"/>
                <w:sz w:val="18"/>
                <w:szCs w:val="18"/>
                <w:lang w:val="en-US" w:eastAsia="zh-CN"/>
              </w:rPr>
              <w:t>8</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21106</w:t>
            </w:r>
          </w:p>
        </w:tc>
        <w:tc>
          <w:tcPr>
            <w:tcW w:w="2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退耕还林还草</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6</w:t>
            </w:r>
            <w:r>
              <w:rPr>
                <w:rFonts w:hint="eastAsia" w:ascii="宋体" w:hAnsi="宋体" w:eastAsia="宋体" w:cs="宋体"/>
                <w:color w:val="000000"/>
                <w:sz w:val="18"/>
                <w:szCs w:val="18"/>
                <w:lang w:val="en-US" w:eastAsia="zh-CN"/>
              </w:rPr>
              <w:t>8</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2110602</w:t>
            </w:r>
          </w:p>
        </w:tc>
        <w:tc>
          <w:tcPr>
            <w:tcW w:w="2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退耕现金</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6</w:t>
            </w:r>
            <w:r>
              <w:rPr>
                <w:rFonts w:hint="eastAsia" w:ascii="宋体" w:hAnsi="宋体" w:eastAsia="宋体" w:cs="宋体"/>
                <w:color w:val="000000"/>
                <w:sz w:val="18"/>
                <w:szCs w:val="18"/>
                <w:lang w:val="en-US" w:eastAsia="zh-CN"/>
              </w:rPr>
              <w:t>8</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w:t>
            </w:r>
          </w:p>
        </w:tc>
        <w:tc>
          <w:tcPr>
            <w:tcW w:w="2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农林水支出</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376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95</w:t>
            </w: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361</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0</w:t>
            </w:r>
          </w:p>
        </w:tc>
      </w:tr>
      <w:tr>
        <w:tblPrEx>
          <w:tblCellMar>
            <w:top w:w="0" w:type="dxa"/>
            <w:left w:w="0" w:type="dxa"/>
            <w:bottom w:w="0" w:type="dxa"/>
            <w:right w:w="0" w:type="dxa"/>
          </w:tblCellMar>
        </w:tblPrEx>
        <w:trPr>
          <w:gridAfter w:val="1"/>
          <w:wAfter w:w="287" w:type="dxa"/>
          <w:trHeight w:val="257"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21301</w:t>
            </w:r>
          </w:p>
        </w:tc>
        <w:tc>
          <w:tcPr>
            <w:tcW w:w="2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农业农村</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2130101</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行政运行</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.46</w:t>
            </w: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2130199</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其他农业农村支出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21302</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林业和草原</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51</w:t>
            </w:r>
            <w:r>
              <w:rPr>
                <w:rFonts w:hint="eastAsia" w:ascii="宋体" w:hAnsi="宋体" w:eastAsia="宋体" w:cs="宋体"/>
                <w:color w:val="000000"/>
                <w:sz w:val="18"/>
                <w:szCs w:val="18"/>
                <w:lang w:val="en-US" w:eastAsia="zh-CN"/>
              </w:rPr>
              <w:t>.60</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2130201</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行政运行</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2130205</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森林资源培育</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w:t>
            </w:r>
            <w:r>
              <w:rPr>
                <w:rFonts w:hint="eastAsia" w:ascii="宋体" w:hAnsi="宋体" w:eastAsia="宋体" w:cs="宋体"/>
                <w:color w:val="000000"/>
                <w:sz w:val="18"/>
                <w:szCs w:val="18"/>
                <w:lang w:val="en-US" w:eastAsia="zh-CN"/>
              </w:rPr>
              <w:t>1</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2130209</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森林生态效益补偿</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36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9</w:t>
            </w:r>
          </w:p>
        </w:tc>
      </w:tr>
      <w:tr>
        <w:tblPrEx>
          <w:tblCellMar>
            <w:top w:w="0" w:type="dxa"/>
            <w:left w:w="0" w:type="dxa"/>
            <w:bottom w:w="0" w:type="dxa"/>
            <w:right w:w="0" w:type="dxa"/>
          </w:tblCellMar>
        </w:tblPrEx>
        <w:trPr>
          <w:gridAfter w:val="1"/>
          <w:wAfter w:w="287" w:type="dxa"/>
          <w:trHeight w:val="282"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21303</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水利</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207</w:t>
            </w:r>
            <w:r>
              <w:rPr>
                <w:rFonts w:hint="eastAsia" w:ascii="宋体" w:hAnsi="宋体" w:eastAsia="宋体" w:cs="宋体"/>
                <w:color w:val="000000"/>
                <w:sz w:val="18"/>
                <w:szCs w:val="18"/>
                <w:lang w:val="en-US" w:eastAsia="zh-CN"/>
              </w:rPr>
              <w:t>.47</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2130314</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防汛</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2</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2130316</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农村水利</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20</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2130335</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农村人畜饮水</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90</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2130399</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其他水利支出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155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4</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21308</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普惠金融发展支出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00</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2130803</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农业保险保费补贴</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00</w:t>
            </w:r>
          </w:p>
        </w:tc>
      </w:tr>
      <w:tr>
        <w:tblPrEx>
          <w:tblCellMar>
            <w:top w:w="0" w:type="dxa"/>
            <w:left w:w="0" w:type="dxa"/>
            <w:bottom w:w="0" w:type="dxa"/>
            <w:right w:w="0" w:type="dxa"/>
          </w:tblCellMar>
        </w:tblPrEx>
        <w:trPr>
          <w:gridAfter w:val="1"/>
          <w:wAfter w:w="287" w:type="dxa"/>
          <w:trHeight w:val="312"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21399</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其他农林水支出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3</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2139999</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其他农林水支出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3</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224</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灾害防治及应急管理支出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r>
              <w:rPr>
                <w:rFonts w:hint="eastAsia" w:ascii="宋体" w:hAnsi="宋体" w:eastAsia="宋体" w:cs="宋体"/>
                <w:color w:val="000000"/>
                <w:sz w:val="18"/>
                <w:szCs w:val="18"/>
                <w:lang w:val="en-US" w:eastAsia="zh-CN"/>
              </w:rPr>
              <w:t>4</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22402</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消防事务</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r>
              <w:rPr>
                <w:rFonts w:hint="eastAsia" w:ascii="宋体" w:hAnsi="宋体" w:eastAsia="宋体" w:cs="宋体"/>
                <w:color w:val="000000"/>
                <w:sz w:val="18"/>
                <w:szCs w:val="18"/>
                <w:lang w:val="en-US" w:eastAsia="zh-CN"/>
              </w:rPr>
              <w:t>4</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2240204</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消防应急救援</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r>
              <w:rPr>
                <w:rFonts w:hint="eastAsia" w:ascii="宋体" w:hAnsi="宋体" w:eastAsia="宋体" w:cs="宋体"/>
                <w:color w:val="000000"/>
                <w:sz w:val="18"/>
                <w:szCs w:val="18"/>
                <w:lang w:val="en-US" w:eastAsia="zh-CN"/>
              </w:rPr>
              <w:t>4</w:t>
            </w:r>
          </w:p>
        </w:tc>
      </w:tr>
    </w:tbl>
    <w:p>
      <w:pP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r>
        <w:br w:type="page"/>
      </w:r>
    </w:p>
    <w:tbl>
      <w:tblPr>
        <w:tblStyle w:val="6"/>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CellMar>
            <w:top w:w="0" w:type="dxa"/>
            <w:left w:w="0" w:type="dxa"/>
            <w:bottom w:w="0" w:type="dxa"/>
            <w:right w:w="0" w:type="dxa"/>
          </w:tblCellMar>
        </w:tblPrEx>
        <w:trPr>
          <w:trHeight w:val="149"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173"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w:t>
            </w: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113"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tblPrEx>
          <w:tblCellMar>
            <w:top w:w="0" w:type="dxa"/>
            <w:left w:w="0" w:type="dxa"/>
            <w:bottom w:w="0" w:type="dxa"/>
            <w:right w:w="0" w:type="dxa"/>
          </w:tblCellMar>
        </w:tblPrEx>
        <w:trPr>
          <w:trHeight w:val="312"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357.48</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18.99</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73"/>
              </w:tabs>
              <w:spacing w:line="220" w:lineRule="exact"/>
              <w:jc w:val="lef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eastAsia="zh-CN"/>
              </w:rPr>
              <w:tab/>
            </w:r>
            <w:r>
              <w:rPr>
                <w:rFonts w:hint="eastAsia" w:ascii="宋体" w:hAnsi="宋体" w:eastAsia="宋体" w:cs="宋体"/>
                <w:color w:val="000000"/>
                <w:sz w:val="16"/>
                <w:szCs w:val="16"/>
                <w:lang w:val="en-US" w:eastAsia="zh-CN"/>
              </w:rPr>
              <w:t>129.97</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3.2</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41.07</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14.35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0.25</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0.48</w:t>
            </w: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48"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37.84</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0.2</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0.48</w:t>
            </w: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25.09</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13.15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0.77</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13.48</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81.76</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0.14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2.07</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1.42</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7.9</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0.07</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06"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357.48</w:t>
            </w:r>
          </w:p>
        </w:tc>
        <w:tc>
          <w:tcPr>
            <w:tcW w:w="823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19.47</w:t>
            </w:r>
          </w:p>
        </w:tc>
      </w:tr>
    </w:tbl>
    <w:p>
      <w:pPr>
        <w:widowControl/>
        <w:jc w:val="center"/>
        <w:textAlignment w:val="center"/>
        <w:sectPr>
          <w:pgSz w:w="16838" w:h="11906" w:orient="landscape"/>
          <w:pgMar w:top="720" w:right="720" w:bottom="720" w:left="720" w:header="851" w:footer="992" w:gutter="0"/>
          <w:cols w:space="425" w:num="1"/>
          <w:docGrid w:type="lines" w:linePitch="312" w:charSpace="0"/>
        </w:sectPr>
      </w:pP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bl>
    <w:p>
      <w:pPr>
        <w:rPr>
          <w:rFonts w:hint="eastAsia" w:ascii="宋体" w:hAnsi="宋体" w:eastAsia="宋体" w:cs="宋体"/>
          <w:sz w:val="20"/>
          <w:szCs w:val="22"/>
        </w:rPr>
      </w:pPr>
      <w:r>
        <w:rPr>
          <w:rFonts w:hint="eastAsia" w:ascii="宋体" w:hAnsi="宋体" w:eastAsia="宋体" w:cs="宋体"/>
          <w:sz w:val="20"/>
          <w:szCs w:val="22"/>
        </w:rPr>
        <w:t>注：本部门本年度</w:t>
      </w:r>
      <w:r>
        <w:rPr>
          <w:rFonts w:hint="eastAsia" w:ascii="宋体" w:hAnsi="宋体" w:eastAsia="宋体" w:cs="宋体"/>
          <w:sz w:val="20"/>
          <w:szCs w:val="22"/>
          <w:lang w:val="en-US" w:eastAsia="zh-CN"/>
        </w:rPr>
        <w:t>无相关收入</w:t>
      </w:r>
      <w:r>
        <w:rPr>
          <w:rFonts w:hint="eastAsia" w:ascii="宋体" w:hAnsi="宋体" w:eastAsia="宋体" w:cs="宋体"/>
          <w:sz w:val="20"/>
          <w:szCs w:val="22"/>
        </w:rPr>
        <w:t>收入</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或</w:t>
      </w:r>
      <w:r>
        <w:rPr>
          <w:rFonts w:hint="eastAsia" w:ascii="宋体" w:hAnsi="宋体" w:eastAsia="宋体" w:cs="宋体"/>
          <w:sz w:val="20"/>
          <w:szCs w:val="22"/>
        </w:rPr>
        <w:t>支出及结转结余</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情况，按要求空表列式。</w:t>
      </w:r>
    </w:p>
    <w:p>
      <w:r>
        <w:rPr>
          <w:sz w:val="20"/>
          <w:szCs w:val="22"/>
        </w:rPr>
        <w:tab/>
      </w:r>
      <w:r>
        <w:tab/>
      </w:r>
      <w:r>
        <w:tab/>
      </w:r>
      <w:r>
        <w:tab/>
      </w:r>
      <w:r>
        <w:tab/>
      </w:r>
      <w:r>
        <w:tab/>
      </w:r>
      <w:r>
        <w:tab/>
      </w:r>
      <w:r>
        <w:tab/>
      </w:r>
      <w:r>
        <w:tab/>
      </w:r>
      <w:r>
        <w:tab/>
      </w:r>
      <w:r>
        <w:br w:type="page"/>
      </w:r>
    </w:p>
    <w:tbl>
      <w:tblPr>
        <w:tblStyle w:val="6"/>
        <w:tblW w:w="9510" w:type="dxa"/>
        <w:jc w:val="center"/>
        <w:tblLayout w:type="autofit"/>
        <w:tblCellMar>
          <w:top w:w="0" w:type="dxa"/>
          <w:left w:w="0" w:type="dxa"/>
          <w:bottom w:w="0" w:type="dxa"/>
          <w:right w:w="0" w:type="dxa"/>
        </w:tblCellMar>
      </w:tblPr>
      <w:tblGrid>
        <w:gridCol w:w="966"/>
        <w:gridCol w:w="61"/>
        <w:gridCol w:w="61"/>
        <w:gridCol w:w="1407"/>
        <w:gridCol w:w="1169"/>
        <w:gridCol w:w="1169"/>
        <w:gridCol w:w="1169"/>
        <w:gridCol w:w="1169"/>
        <w:gridCol w:w="1169"/>
        <w:gridCol w:w="117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bl>
    <w:p>
      <w:pPr>
        <w:rPr>
          <w:rFonts w:hint="eastAsia" w:ascii="宋体" w:hAnsi="宋体" w:eastAsia="宋体" w:cs="宋体"/>
          <w:sz w:val="20"/>
          <w:szCs w:val="22"/>
        </w:rPr>
      </w:pPr>
      <w:r>
        <w:rPr>
          <w:rFonts w:hint="eastAsia" w:ascii="宋体" w:hAnsi="宋体" w:eastAsia="宋体" w:cs="宋体"/>
          <w:sz w:val="20"/>
          <w:szCs w:val="22"/>
        </w:rPr>
        <w:t>注：本部门本年度</w:t>
      </w:r>
      <w:r>
        <w:rPr>
          <w:rFonts w:hint="eastAsia" w:ascii="宋体" w:hAnsi="宋体" w:eastAsia="宋体" w:cs="宋体"/>
          <w:sz w:val="20"/>
          <w:szCs w:val="22"/>
          <w:lang w:val="en-US" w:eastAsia="zh-CN"/>
        </w:rPr>
        <w:t>无相关收入</w:t>
      </w:r>
      <w:r>
        <w:rPr>
          <w:rFonts w:hint="eastAsia" w:ascii="宋体" w:hAnsi="宋体" w:eastAsia="宋体" w:cs="宋体"/>
          <w:sz w:val="20"/>
          <w:szCs w:val="22"/>
        </w:rPr>
        <w:t>收入</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或</w:t>
      </w:r>
      <w:r>
        <w:rPr>
          <w:rFonts w:hint="eastAsia" w:ascii="宋体" w:hAnsi="宋体" w:eastAsia="宋体" w:cs="宋体"/>
          <w:sz w:val="20"/>
          <w:szCs w:val="22"/>
        </w:rPr>
        <w:t>支出及结转结余</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情况，按要求空表列式。</w:t>
      </w: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tbl>
      <w:tblPr>
        <w:tblStyle w:val="6"/>
        <w:tblW w:w="9064" w:type="dxa"/>
        <w:tblInd w:w="0" w:type="dxa"/>
        <w:tblLayout w:type="autofit"/>
        <w:tblCellMar>
          <w:top w:w="0" w:type="dxa"/>
          <w:left w:w="0" w:type="dxa"/>
          <w:bottom w:w="0" w:type="dxa"/>
          <w:right w:w="0" w:type="dxa"/>
        </w:tblCellMar>
      </w:tblPr>
      <w:tblGrid>
        <w:gridCol w:w="630"/>
        <w:gridCol w:w="661"/>
        <w:gridCol w:w="177"/>
        <w:gridCol w:w="2780"/>
        <w:gridCol w:w="1138"/>
        <w:gridCol w:w="296"/>
        <w:gridCol w:w="1421"/>
        <w:gridCol w:w="1417"/>
        <w:gridCol w:w="544"/>
      </w:tblGrid>
      <w:tr>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78" w:type="dxa"/>
            <w:gridSpan w:val="4"/>
            <w:vMerge w:val="restart"/>
            <w:tcBorders>
              <w:top w:val="nil"/>
              <w:left w:val="nil"/>
              <w:right w:val="nil"/>
            </w:tcBorders>
            <w:shd w:val="clear" w:color="auto" w:fill="auto"/>
            <w:noWrap/>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5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78" w:type="dxa"/>
            <w:gridSpan w:val="4"/>
            <w:vMerge w:val="continue"/>
            <w:tcBorders>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hint="eastAsia" w:ascii="宋体" w:hAnsi="宋体" w:eastAsia="宋体" w:cs="宋体"/>
          <w:sz w:val="20"/>
          <w:szCs w:val="22"/>
        </w:rPr>
      </w:pPr>
      <w:r>
        <w:rPr>
          <w:rFonts w:hint="eastAsia" w:ascii="宋体" w:hAnsi="宋体" w:eastAsia="宋体" w:cs="宋体"/>
        </w:rPr>
        <w:t>注：</w:t>
      </w:r>
      <w:r>
        <w:rPr>
          <w:rFonts w:hint="eastAsia" w:ascii="宋体" w:hAnsi="宋体" w:eastAsia="宋体" w:cs="宋体"/>
          <w:sz w:val="20"/>
          <w:szCs w:val="22"/>
        </w:rPr>
        <w:t>本部门本年度</w:t>
      </w:r>
      <w:r>
        <w:rPr>
          <w:rFonts w:hint="eastAsia" w:ascii="宋体" w:hAnsi="宋体" w:eastAsia="宋体" w:cs="宋体"/>
          <w:sz w:val="20"/>
          <w:szCs w:val="22"/>
          <w:lang w:val="en-US" w:eastAsia="zh-CN"/>
        </w:rPr>
        <w:t>无相关收入</w:t>
      </w:r>
      <w:r>
        <w:rPr>
          <w:rFonts w:hint="eastAsia" w:ascii="宋体" w:hAnsi="宋体" w:eastAsia="宋体" w:cs="宋体"/>
          <w:sz w:val="20"/>
          <w:szCs w:val="22"/>
        </w:rPr>
        <w:t>收入</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或</w:t>
      </w:r>
      <w:r>
        <w:rPr>
          <w:rFonts w:hint="eastAsia" w:ascii="宋体" w:hAnsi="宋体" w:eastAsia="宋体" w:cs="宋体"/>
          <w:sz w:val="20"/>
          <w:szCs w:val="22"/>
        </w:rPr>
        <w:t>支出及结转结余</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情况，按要求空表列式。</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jc w:val="left"/>
        <w:rPr>
          <w:rFonts w:hint="eastAsia"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CFF75DC"/>
    <w:multiLevelType w:val="multilevel"/>
    <w:tmpl w:val="5CFF75D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N2E2NTk1NDQzMmZjYTAxN2ZjOGY0YTE0OTc2NzUifQ=="/>
  </w:docVars>
  <w:rsids>
    <w:rsidRoot w:val="00000000"/>
    <w:rsid w:val="05276216"/>
    <w:rsid w:val="08531E27"/>
    <w:rsid w:val="099B46C1"/>
    <w:rsid w:val="0C9910B8"/>
    <w:rsid w:val="0D59602A"/>
    <w:rsid w:val="10A23012"/>
    <w:rsid w:val="1541057D"/>
    <w:rsid w:val="16142860"/>
    <w:rsid w:val="17047E69"/>
    <w:rsid w:val="193E726F"/>
    <w:rsid w:val="19A41FCE"/>
    <w:rsid w:val="19EE40A4"/>
    <w:rsid w:val="1A047A2C"/>
    <w:rsid w:val="1A951111"/>
    <w:rsid w:val="1B61205A"/>
    <w:rsid w:val="21F453E9"/>
    <w:rsid w:val="237F4AE4"/>
    <w:rsid w:val="240C172F"/>
    <w:rsid w:val="26127E2E"/>
    <w:rsid w:val="2CFD5683"/>
    <w:rsid w:val="309A1851"/>
    <w:rsid w:val="316C61B0"/>
    <w:rsid w:val="329D654D"/>
    <w:rsid w:val="3310738B"/>
    <w:rsid w:val="35076310"/>
    <w:rsid w:val="37074071"/>
    <w:rsid w:val="37557A98"/>
    <w:rsid w:val="39FD00E7"/>
    <w:rsid w:val="3FCB2D5B"/>
    <w:rsid w:val="4105229D"/>
    <w:rsid w:val="45521FA0"/>
    <w:rsid w:val="47F249EF"/>
    <w:rsid w:val="4A005E75"/>
    <w:rsid w:val="4AC77AB6"/>
    <w:rsid w:val="4C644DCE"/>
    <w:rsid w:val="4E7507E8"/>
    <w:rsid w:val="4E7917A9"/>
    <w:rsid w:val="4FB027F0"/>
    <w:rsid w:val="4FFC486B"/>
    <w:rsid w:val="5730129E"/>
    <w:rsid w:val="588217FF"/>
    <w:rsid w:val="5F471C25"/>
    <w:rsid w:val="65A5290C"/>
    <w:rsid w:val="6893317A"/>
    <w:rsid w:val="68D713E3"/>
    <w:rsid w:val="691D72F2"/>
    <w:rsid w:val="69DF625F"/>
    <w:rsid w:val="6D3465BA"/>
    <w:rsid w:val="700E5660"/>
    <w:rsid w:val="73A2534C"/>
    <w:rsid w:val="7DD2748B"/>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Plain Text1"/>
    <w:basedOn w:val="1"/>
    <w:qFormat/>
    <w:uiPriority w:val="0"/>
    <w:rPr>
      <w:rFonts w:ascii="宋体" w:hAnsi="Courier New" w:eastAsia="仿宋" w:cs="Courier New"/>
      <w:sz w:val="3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1.bmp"/><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2019-2020</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年收支总计对比情况（图</a:t>
            </a: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1</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a:t>
            </a:r>
            <a:endPar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2623701893708"/>
          <c:y val="0.0879888268156425"/>
          <c:w val="0.778772144166158"/>
          <c:h val="0.619106145251397"/>
        </c:manualLayout>
      </c:layout>
      <c:barChart>
        <c:barDir val="col"/>
        <c:grouping val="clustered"/>
        <c:varyColors val="0"/>
        <c:ser>
          <c:idx val="0"/>
          <c:order val="0"/>
          <c:tx>
            <c:strRef>
              <c:f>Sheet1!$B$1</c:f>
              <c:strCache>
                <c:ptCount val="1"/>
                <c:pt idx="0">
                  <c:v>收支总计(万元）</c:v>
                </c:pt>
              </c:strCache>
            </c:strRef>
          </c:tx>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t>1012.57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5128.62</c:v>
                </c:pt>
                <c:pt idx="1">
                  <c:v>2025.14</c:v>
                </c:pt>
              </c:numCache>
            </c:numRef>
          </c:val>
        </c:ser>
        <c:dLbls>
          <c:showLegendKey val="0"/>
          <c:showVal val="1"/>
          <c:showCatName val="0"/>
          <c:showSerName val="0"/>
          <c:showPercent val="0"/>
          <c:showBubbleSize val="0"/>
        </c:dLbls>
        <c:gapWidth val="219"/>
        <c:overlap val="-27"/>
        <c:axId val="462451782"/>
        <c:axId val="737457775"/>
      </c:barChart>
      <c:catAx>
        <c:axId val="46245178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737457775"/>
        <c:crosses val="autoZero"/>
        <c:auto val="1"/>
        <c:lblAlgn val="ctr"/>
        <c:lblOffset val="100"/>
        <c:noMultiLvlLbl val="0"/>
      </c:catAx>
      <c:valAx>
        <c:axId val="73745777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46245178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65889612255"/>
          <c:y val="0.211675094816688"/>
          <c:w val="0.400959024181846"/>
          <c:h val="0.669068338249754"/>
        </c:manualLayout>
      </c:layout>
      <c:pieChart>
        <c:varyColors val="1"/>
        <c:ser>
          <c:idx val="0"/>
          <c:order val="0"/>
          <c:tx>
            <c:strRef>
              <c:f>Sheet1!$B$1</c:f>
              <c:strCache>
                <c:ptCount val="1"/>
                <c:pt idx="0">
                  <c:v>系列 1</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614726713884806"/>
                  <c:y val="-0.04013906447534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46.67</c:v>
                </c:pt>
                <c:pt idx="1">
                  <c:v>53.33</c:v>
                </c:pt>
              </c:numCache>
            </c:numRef>
          </c:val>
        </c:ser>
        <c:ser>
          <c:idx val="1"/>
          <c:order val="1"/>
          <c:tx>
            <c:strRef>
              <c:f>Sheet1!$C$1</c:f>
              <c:strCache>
                <c:ptCount val="1"/>
                <c:pt idx="0">
                  <c:v>系列 2</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Sheet1!$A$2:$A$3</c:f>
              <c:strCache>
                <c:ptCount val="2"/>
                <c:pt idx="0">
                  <c:v>基本支出</c:v>
                </c:pt>
                <c:pt idx="1">
                  <c:v>项目支出</c:v>
                </c:pt>
              </c:strCache>
            </c:strRef>
          </c:cat>
          <c:val>
            <c:numRef>
              <c:f>Sheet1!$C$2:$C$3</c:f>
              <c:numCache>
                <c:formatCode>General</c:formatCode>
                <c:ptCount val="2"/>
                <c:pt idx="0">
                  <c:v>2.4</c:v>
                </c:pt>
                <c:pt idx="1">
                  <c:v>4.4</c:v>
                </c:pt>
              </c:numCache>
            </c:numRef>
          </c:val>
        </c:ser>
        <c:ser>
          <c:idx val="2"/>
          <c:order val="2"/>
          <c:tx>
            <c:strRef>
              <c:f>Sheet1!#REF!</c:f>
              <c:strCache>
                <c:ptCount val="1"/>
                <c:pt idx="0">
                  <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0973058637083998"/>
          <c:y val="0.84863123993558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t>图表标题</a:t>
            </a:r>
          </a:p>
        </c:rich>
      </c:tx>
      <c:layout/>
      <c:overlay val="0"/>
      <c:spPr>
        <a:noFill/>
        <a:ln>
          <a:noFill/>
        </a:ln>
        <a:effectLst/>
      </c:spPr>
    </c:title>
    <c:autoTitleDeleted val="0"/>
    <c:plotArea>
      <c:layout>
        <c:manualLayout>
          <c:layoutTarget val="inner"/>
          <c:xMode val="edge"/>
          <c:yMode val="edge"/>
          <c:x val="0.26465889612255"/>
          <c:y val="0.211675094816688"/>
          <c:w val="0.400959024181846"/>
          <c:h val="0.669068338249754"/>
        </c:manualLayout>
      </c:layout>
      <c:pieChart>
        <c:varyColors val="1"/>
        <c:ser>
          <c:idx val="0"/>
          <c:order val="0"/>
          <c:tx>
            <c:strRef>
              <c:f>Sheet1!$B$1</c:f>
              <c:strCache>
                <c:ptCount val="1"/>
                <c:pt idx="0">
                  <c:v>系列 1</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614726713884806"/>
                  <c:y val="-0.04013906447534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80408926900976"/>
                  <c:y val="-0.024653674571495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类别1</c:v>
                </c:pt>
                <c:pt idx="1">
                  <c:v>类别2</c:v>
                </c:pt>
                <c:pt idx="2">
                  <c:v>类别3</c:v>
                </c:pt>
                <c:pt idx="3">
                  <c:v>类别4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系列 2</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类别1</c:v>
                </c:pt>
                <c:pt idx="1">
                  <c:v>类别2</c:v>
                </c:pt>
                <c:pt idx="2">
                  <c:v>类别3</c:v>
                </c:pt>
                <c:pt idx="3">
                  <c:v>类别4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类别1</c:v>
                </c:pt>
                <c:pt idx="1">
                  <c:v>类别2</c:v>
                </c:pt>
                <c:pt idx="2">
                  <c:v>类别3</c:v>
                </c:pt>
                <c:pt idx="3">
                  <c:v>类别4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Sheet1!$B$2:$B$5</c:f>
              <c:numCache>
                <c:formatCode>General</c:formatCode>
                <c:ptCount val="4"/>
                <c:pt idx="0">
                  <c:v>3345.2</c:v>
                </c:pt>
                <c:pt idx="1">
                  <c:v>1012.57</c:v>
                </c:pt>
                <c:pt idx="2">
                  <c:v>4464.37</c:v>
                </c:pt>
                <c:pt idx="3">
                  <c:v>1012.57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15536641"/>
        <c:axId val="833047161"/>
      </c:barChart>
      <c:catAx>
        <c:axId val="2155366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047161"/>
        <c:crosses val="autoZero"/>
        <c:auto val="1"/>
        <c:lblAlgn val="ctr"/>
        <c:lblOffset val="100"/>
        <c:noMultiLvlLbl val="0"/>
      </c:catAx>
      <c:valAx>
        <c:axId val="833047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53664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Sheet1!$B$2:$B$5</c:f>
              <c:numCache>
                <c:formatCode>General</c:formatCode>
                <c:ptCount val="4"/>
                <c:pt idx="0">
                  <c:v>3345.2</c:v>
                </c:pt>
                <c:pt idx="1">
                  <c:v>1012.57</c:v>
                </c:pt>
                <c:pt idx="2">
                  <c:v>4464.37</c:v>
                </c:pt>
                <c:pt idx="3">
                  <c:v>807.67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75358242"/>
        <c:axId val="187821949"/>
      </c:barChart>
      <c:catAx>
        <c:axId val="9753582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821949"/>
        <c:crosses val="autoZero"/>
        <c:auto val="1"/>
        <c:lblAlgn val="ctr"/>
        <c:lblOffset val="100"/>
        <c:noMultiLvlLbl val="0"/>
      </c:catAx>
      <c:valAx>
        <c:axId val="1878219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35824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explosion val="2"/>
            <c:spPr>
              <a:solidFill>
                <a:schemeClr val="accent4"/>
              </a:solidFill>
              <a:ln w="19050">
                <a:solidFill>
                  <a:schemeClr val="lt1"/>
                </a:solidFill>
              </a:ln>
              <a:effectLst/>
            </c:spPr>
          </c:dPt>
          <c:dLbls>
            <c:dLbl>
              <c:idx val="0"/>
              <c:layout>
                <c:manualLayout>
                  <c:x val="-0.0121239294584814"/>
                  <c:y val="0.1334057225422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94479237640222"/>
                  <c:y val="-0.1809514732583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layout>
                <c:manualLayout>
                  <c:x val="0.0525853112825984"/>
                  <c:y val="0.1487691826604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节能环保类</c:v>
                </c:pt>
                <c:pt idx="1">
                  <c:v>农林水类</c:v>
                </c:pt>
                <c:pt idx="2">
                  <c:v>灾害防治及应急管理类</c:v>
                </c:pt>
                <c:pt idx="3">
                  <c:v>年末结转结余</c:v>
                </c:pt>
              </c:strCache>
            </c:strRef>
          </c:cat>
          <c:val>
            <c:numRef>
              <c:f>Sheet1!$B$2:$B$5</c:f>
              <c:numCache>
                <c:formatCode>General</c:formatCode>
                <c:ptCount val="4"/>
                <c:pt idx="0">
                  <c:v>5.8</c:v>
                </c:pt>
                <c:pt idx="1">
                  <c:v>72.9</c:v>
                </c:pt>
                <c:pt idx="2">
                  <c:v>1.1</c:v>
                </c:pt>
                <c:pt idx="3">
                  <c:v>20.2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alpha val="47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alpha val="47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alpha val="47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alpha val="47000"/>
                  </a:schemeClr>
                </a:solidFill>
                <a:latin typeface="+mn-lt"/>
                <a:ea typeface="+mn-ea"/>
                <a:cs typeface="+mn-cs"/>
              </a:defRPr>
            </a:pPr>
          </a:p>
        </c:txPr>
      </c:legendEntry>
      <c:layout>
        <c:manualLayout>
          <c:xMode val="edge"/>
          <c:yMode val="edge"/>
          <c:x val="0.0689655172413793"/>
          <c:y val="0.788888888888889"/>
          <c:w val="0.859096313912009"/>
          <c:h val="0.1933862433862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alpha val="47000"/>
                </a:schemeClr>
              </a:solidFill>
              <a:latin typeface="+mn-lt"/>
              <a:ea typeface="+mn-ea"/>
              <a:cs typeface="+mn-cs"/>
            </a:defRPr>
          </a:pPr>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10679</Words>
  <Characters>12599</Characters>
  <Lines>0</Lines>
  <Paragraphs>0</Paragraphs>
  <TotalTime>5</TotalTime>
  <ScaleCrop>false</ScaleCrop>
  <LinksUpToDate>false</LinksUpToDate>
  <CharactersWithSpaces>12900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2021-11-19T04:40:00Z</dcterms:created>
  <dc:creator>Administrator</dc:creator>
  <cp:lastModifiedBy>Administrator</cp:lastModifiedBy>
  <dcterms:modified xsi:type="dcterms:W3CDTF">2023-08-16T03:39:33Z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CC486C7B1E79441F9A0FC9950E3E0F90</vt:lpwstr>
  </property>
</Properties>
</file>