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小标宋简体" w:hAnsi="方正小标宋简体" w:eastAsia="方正小标宋简体" w:cs="方正小标宋简体"/>
          <w:b/>
          <w:bCs/>
          <w:sz w:val="44"/>
          <w:szCs w:val="44"/>
        </w:rPr>
      </w:pPr>
      <w:bookmarkStart w:id="0" w:name="_GoBack"/>
      <w:bookmarkEnd w:id="0"/>
    </w:p>
    <w:p>
      <w:pPr>
        <w:rPr>
          <w:rFonts w:ascii="方正小标宋简体" w:hAnsi="方正小标宋简体" w:eastAsia="方正小标宋简体" w:cs="方正小标宋简体"/>
          <w:b/>
          <w:bCs/>
          <w:sz w:val="44"/>
          <w:szCs w:val="44"/>
        </w:rPr>
      </w:pPr>
    </w:p>
    <w:p>
      <w:pPr>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承德高新技术产业开发区</w:t>
      </w:r>
    </w:p>
    <w:p>
      <w:pPr>
        <w:jc w:val="center"/>
        <w:rPr>
          <w:rFonts w:ascii="方正小标宋简体" w:hAnsi="方正小标宋简体" w:eastAsia="方正小标宋简体" w:cs="方正小标宋简体"/>
          <w:b/>
          <w:bCs/>
          <w:sz w:val="52"/>
          <w:szCs w:val="52"/>
        </w:rPr>
      </w:pPr>
      <w:r>
        <w:rPr>
          <w:rFonts w:hint="eastAsia" w:ascii="方正小标宋简体" w:hAnsi="方正小标宋简体" w:eastAsia="方正小标宋简体" w:cs="方正小标宋简体"/>
          <w:b/>
          <w:bCs/>
          <w:sz w:val="52"/>
          <w:szCs w:val="52"/>
        </w:rPr>
        <w:t>林业水务局</w:t>
      </w:r>
    </w:p>
    <w:p>
      <w:pPr>
        <w:jc w:val="center"/>
        <w:rPr>
          <w:rFonts w:ascii="方正小标宋简体" w:hAnsi="方正小标宋简体" w:eastAsia="方正小标宋简体" w:cs="方正小标宋简体"/>
          <w:b/>
          <w:bCs/>
          <w:sz w:val="52"/>
          <w:szCs w:val="52"/>
        </w:rPr>
      </w:pPr>
      <w:r>
        <w:rPr>
          <w:rFonts w:ascii="方正小标宋简体" w:hAnsi="方正小标宋简体" w:eastAsia="方正小标宋简体" w:cs="方正小标宋简体"/>
          <w:b/>
          <w:bCs/>
          <w:sz w:val="52"/>
          <w:szCs w:val="52"/>
        </w:rPr>
        <w:t>202</w:t>
      </w:r>
      <w:r>
        <w:rPr>
          <w:rFonts w:hint="eastAsia" w:ascii="方正小标宋简体" w:hAnsi="方正小标宋简体" w:eastAsia="方正小标宋简体" w:cs="方正小标宋简体"/>
          <w:b/>
          <w:bCs/>
          <w:sz w:val="52"/>
          <w:szCs w:val="52"/>
          <w:lang w:val="en-US" w:eastAsia="zh-CN"/>
        </w:rPr>
        <w:t>2</w:t>
      </w:r>
      <w:r>
        <w:rPr>
          <w:rFonts w:hint="eastAsia" w:ascii="方正小标宋简体" w:hAnsi="方正小标宋简体" w:eastAsia="方正小标宋简体" w:cs="方正小标宋简体"/>
          <w:b/>
          <w:bCs/>
          <w:sz w:val="52"/>
          <w:szCs w:val="52"/>
        </w:rPr>
        <w:t>年部门预算绩效文本</w:t>
      </w: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52"/>
          <w:szCs w:val="52"/>
        </w:rPr>
      </w:pPr>
    </w:p>
    <w:p>
      <w:pPr>
        <w:jc w:val="center"/>
        <w:rPr>
          <w:rFonts w:ascii="方正小标宋简体" w:hAnsi="方正小标宋简体" w:eastAsia="方正小标宋简体" w:cs="方正小标宋简体"/>
          <w:b/>
          <w:bCs/>
          <w:sz w:val="52"/>
          <w:szCs w:val="52"/>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r>
        <w:rPr>
          <w:rFonts w:hint="eastAsia" w:ascii="黑体" w:hAnsi="黑体" w:eastAsia="黑体" w:cs="黑体"/>
          <w:b/>
          <w:bCs/>
        </w:rPr>
        <w:t>承德高新技术产业开发区林业水务局编制</w:t>
      </w:r>
    </w:p>
    <w:p>
      <w:pPr>
        <w:jc w:val="center"/>
        <w:rPr>
          <w:rFonts w:ascii="黑体" w:hAnsi="黑体" w:eastAsia="黑体" w:cs="黑体"/>
          <w:b/>
          <w:bCs/>
        </w:rPr>
      </w:pPr>
      <w:r>
        <w:rPr>
          <w:rFonts w:hint="eastAsia" w:ascii="黑体" w:hAnsi="黑体" w:eastAsia="黑体" w:cs="黑体"/>
          <w:b/>
          <w:bCs/>
        </w:rPr>
        <w:t>河北省财政厅审核</w:t>
      </w: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rPr>
      </w:pPr>
    </w:p>
    <w:p>
      <w:pPr>
        <w:jc w:val="center"/>
        <w:rPr>
          <w:rFonts w:ascii="黑体" w:hAnsi="黑体" w:eastAsia="黑体" w:cs="黑体"/>
          <w:b/>
          <w:bCs/>
          <w:sz w:val="44"/>
          <w:szCs w:val="44"/>
        </w:rPr>
      </w:pPr>
      <w:r>
        <w:rPr>
          <w:rFonts w:hint="eastAsia" w:ascii="黑体" w:hAnsi="黑体" w:eastAsia="黑体" w:cs="黑体"/>
          <w:b/>
          <w:bCs/>
          <w:sz w:val="44"/>
          <w:szCs w:val="44"/>
        </w:rPr>
        <w:t>第一部分</w:t>
      </w:r>
    </w:p>
    <w:p>
      <w:pPr>
        <w:jc w:val="center"/>
        <w:rPr>
          <w:rFonts w:ascii="黑体" w:hAnsi="黑体" w:eastAsia="黑体" w:cs="黑体"/>
          <w:b/>
          <w:bCs/>
          <w:sz w:val="44"/>
          <w:szCs w:val="44"/>
        </w:rPr>
      </w:pPr>
      <w:r>
        <w:rPr>
          <w:rFonts w:ascii="黑体" w:hAnsi="黑体" w:eastAsia="黑体" w:cs="黑体"/>
          <w:b/>
          <w:bCs/>
          <w:sz w:val="44"/>
          <w:szCs w:val="44"/>
        </w:rPr>
        <w:t>202</w:t>
      </w:r>
      <w:r>
        <w:rPr>
          <w:rFonts w:hint="eastAsia" w:ascii="黑体" w:hAnsi="黑体" w:eastAsia="黑体" w:cs="黑体"/>
          <w:b/>
          <w:bCs/>
          <w:sz w:val="44"/>
          <w:szCs w:val="44"/>
          <w:lang w:val="en-US" w:eastAsia="zh-CN"/>
        </w:rPr>
        <w:t>2</w:t>
      </w:r>
      <w:r>
        <w:rPr>
          <w:rFonts w:hint="eastAsia" w:ascii="黑体" w:hAnsi="黑体" w:eastAsia="黑体" w:cs="黑体"/>
          <w:b/>
          <w:bCs/>
          <w:sz w:val="44"/>
          <w:szCs w:val="44"/>
        </w:rPr>
        <w:t>年部门整体绩效目标</w:t>
      </w:r>
    </w:p>
    <w:p>
      <w:pPr>
        <w:numPr>
          <w:ilvl w:val="0"/>
          <w:numId w:val="1"/>
        </w:numPr>
        <w:rPr>
          <w:rFonts w:ascii="黑体" w:hAnsi="黑体" w:eastAsia="黑体" w:cs="黑体"/>
        </w:rPr>
      </w:pPr>
      <w:r>
        <w:rPr>
          <w:rFonts w:hint="eastAsia" w:ascii="黑体" w:hAnsi="黑体" w:eastAsia="黑体" w:cs="黑体"/>
        </w:rPr>
        <w:t>总体绩效目标</w:t>
      </w:r>
    </w:p>
    <w:p>
      <w:pPr>
        <w:ind w:firstLine="645"/>
        <w:rPr>
          <w:rFonts w:hint="eastAsia" w:ascii="仿宋" w:hAnsi="仿宋" w:eastAsia="仿宋"/>
          <w:sz w:val="32"/>
          <w:szCs w:val="32"/>
        </w:rPr>
      </w:pPr>
      <w:r>
        <w:rPr>
          <w:rFonts w:hint="eastAsia" w:ascii="仿宋" w:hAnsi="仿宋" w:eastAsia="仿宋"/>
          <w:b/>
          <w:sz w:val="32"/>
          <w:szCs w:val="32"/>
        </w:rPr>
        <w:t>（</w:t>
      </w:r>
      <w:r>
        <w:rPr>
          <w:rFonts w:hint="eastAsia" w:ascii="仿宋" w:hAnsi="仿宋" w:eastAsia="仿宋"/>
          <w:b/>
          <w:bCs/>
          <w:color w:val="333333"/>
          <w:kern w:val="0"/>
          <w:sz w:val="32"/>
          <w:szCs w:val="32"/>
          <w:shd w:val="clear" w:color="auto" w:fill="FFFFFF"/>
        </w:rPr>
        <w:t>一）深入推进河长制、林长制工作。</w:t>
      </w:r>
      <w:r>
        <w:rPr>
          <w:rFonts w:hint="eastAsia" w:ascii="仿宋" w:hAnsi="仿宋" w:eastAsia="仿宋"/>
          <w:b/>
          <w:sz w:val="32"/>
          <w:szCs w:val="32"/>
        </w:rPr>
        <w:t>一是</w:t>
      </w:r>
      <w:r>
        <w:rPr>
          <w:rFonts w:hint="eastAsia" w:ascii="仿宋" w:hAnsi="仿宋" w:eastAsia="仿宋"/>
          <w:sz w:val="32"/>
          <w:szCs w:val="32"/>
        </w:rPr>
        <w:t>强化基层河长、林长履职能力，结合工作实际，定期组织开展河长、林长履职能力培训，提升责任意识，确保各级河长、林长认真履行巡河、管河、护河、治河、护林职责，进一步推进河湖、森林草原管护治理水平；</w:t>
      </w:r>
      <w:r>
        <w:rPr>
          <w:rFonts w:hint="eastAsia" w:ascii="仿宋" w:hAnsi="仿宋" w:eastAsia="仿宋"/>
          <w:b/>
          <w:sz w:val="32"/>
          <w:szCs w:val="32"/>
        </w:rPr>
        <w:t>二是</w:t>
      </w:r>
      <w:r>
        <w:rPr>
          <w:rFonts w:hint="eastAsia" w:ascii="仿宋" w:hAnsi="仿宋" w:eastAsia="仿宋"/>
          <w:sz w:val="32"/>
          <w:szCs w:val="32"/>
        </w:rPr>
        <w:t>牢固树立生态优先、绿色发展的理念。强化区、镇、村河湖、森林管理保护主体责任，以保护水源、防治水污染、改善水环境、修复水生态为主要任务，扎实开展林业增绿增效行动，全力保障河道管理范围内环境整洁，主要河流水质达标。继续抓好河湖“四乱”清理整治工作。组织开展河湖“四乱”清理整治“回头看”和陈年积案“清零”行动，将重点向农村小河流延伸，严格“清存量、零增量”，全力整治漏查漏报、清理整治不到位及治后反弹问题，确保河道管理有效可控；</w:t>
      </w:r>
      <w:r>
        <w:rPr>
          <w:rFonts w:hint="eastAsia" w:ascii="仿宋" w:hAnsi="仿宋" w:eastAsia="仿宋"/>
          <w:b/>
          <w:sz w:val="32"/>
          <w:szCs w:val="32"/>
        </w:rPr>
        <w:t>三是</w:t>
      </w:r>
      <w:r>
        <w:rPr>
          <w:rFonts w:hint="eastAsia" w:ascii="仿宋" w:hAnsi="仿宋" w:eastAsia="仿宋"/>
          <w:sz w:val="32"/>
          <w:szCs w:val="32"/>
        </w:rPr>
        <w:t>加强宣传引导。拓展公众参与渠道，通过加强政策宣传解读、加大新闻宣传和舆论引导力度，增强社会公众对河湖、森林保护工作的责任意识和参与意识，发挥媒体的监督警示作用，及时处置群众监督举报的问题。</w:t>
      </w:r>
    </w:p>
    <w:p>
      <w:pPr>
        <w:ind w:firstLine="645"/>
        <w:rPr>
          <w:rFonts w:hint="eastAsia" w:ascii="仿宋" w:hAnsi="仿宋" w:eastAsia="仿宋"/>
          <w:sz w:val="32"/>
          <w:szCs w:val="32"/>
        </w:rPr>
      </w:pPr>
      <w:r>
        <w:rPr>
          <w:rFonts w:hint="eastAsia" w:ascii="仿宋" w:hAnsi="仿宋" w:eastAsia="仿宋"/>
          <w:b/>
          <w:bCs/>
          <w:color w:val="333333"/>
          <w:sz w:val="32"/>
          <w:szCs w:val="32"/>
          <w:shd w:val="clear" w:color="auto" w:fill="FFFFFF"/>
        </w:rPr>
        <w:t>（二）全力保障农村饮水安全。</w:t>
      </w:r>
      <w:r>
        <w:rPr>
          <w:rFonts w:hint="eastAsia" w:ascii="仿宋" w:hAnsi="仿宋" w:eastAsia="仿宋"/>
          <w:color w:val="333333"/>
          <w:sz w:val="32"/>
          <w:szCs w:val="32"/>
          <w:shd w:val="clear" w:color="auto" w:fill="FFFFFF"/>
        </w:rPr>
        <w:t>2022年林业水务局将</w:t>
      </w:r>
      <w:r>
        <w:rPr>
          <w:rFonts w:hint="eastAsia" w:ascii="仿宋" w:hAnsi="仿宋" w:eastAsia="仿宋"/>
          <w:color w:val="000000"/>
          <w:sz w:val="32"/>
          <w:szCs w:val="32"/>
          <w:shd w:val="clear" w:color="auto" w:fill="FFFFFF"/>
        </w:rPr>
        <w:t>充分发挥已建工程效益，进一步巩固和提高农村饮水集中供水率、自来水普及率、供水保证率和水质达标率。</w:t>
      </w:r>
      <w:r>
        <w:rPr>
          <w:rFonts w:hint="eastAsia" w:ascii="仿宋" w:hAnsi="仿宋" w:eastAsia="仿宋"/>
          <w:color w:val="333333"/>
          <w:sz w:val="32"/>
          <w:szCs w:val="32"/>
          <w:shd w:val="clear" w:color="auto" w:fill="FFFFFF"/>
        </w:rPr>
        <w:t>以托管镇政府为农村饮水安全保障责任主体，整合资源，统筹安排应急工作任务，建立健全预防预警机制，提升应急响应能力，妥善处理突发性饮水安全事件及其隐患，及时处置可能出现的农村饮水安全隐患</w:t>
      </w:r>
      <w:r>
        <w:rPr>
          <w:rFonts w:hint="eastAsia" w:ascii="仿宋" w:hAnsi="仿宋" w:eastAsia="仿宋"/>
          <w:sz w:val="32"/>
          <w:szCs w:val="32"/>
        </w:rPr>
        <w:t>，统筹推进贫困人口饮水安全工作，确保农村饮水安全。</w:t>
      </w:r>
    </w:p>
    <w:p>
      <w:pPr>
        <w:pStyle w:val="17"/>
        <w:ind w:firstLine="630" w:firstLineChars="196"/>
        <w:rPr>
          <w:rFonts w:hint="eastAsia" w:ascii="仿宋" w:hAnsi="仿宋"/>
          <w:sz w:val="32"/>
          <w:szCs w:val="32"/>
          <w:shd w:val="clear" w:color="auto" w:fill="FFFFFF"/>
        </w:rPr>
      </w:pPr>
      <w:r>
        <w:rPr>
          <w:rFonts w:ascii="仿宋_GB2312" w:hAnsi="仿宋_GB2312"/>
          <w:b/>
          <w:bCs/>
          <w:sz w:val="32"/>
          <w:szCs w:val="32"/>
        </w:rPr>
        <w:t>（三）加强防汛和森林防火管理。</w:t>
      </w:r>
      <w:r>
        <w:rPr>
          <w:rFonts w:hint="eastAsia" w:ascii="仿宋" w:hAnsi="仿宋"/>
          <w:sz w:val="32"/>
          <w:szCs w:val="32"/>
        </w:rPr>
        <w:t>从管理机制,管理机构,监管维护等方面入手，深入做好防汛和森林火灾预防宣传工作。</w:t>
      </w:r>
      <w:r>
        <w:rPr>
          <w:rFonts w:hint="eastAsia" w:ascii="仿宋" w:hAnsi="仿宋"/>
          <w:b/>
          <w:sz w:val="32"/>
          <w:szCs w:val="32"/>
        </w:rPr>
        <w:t>一是</w:t>
      </w:r>
      <w:r>
        <w:rPr>
          <w:rFonts w:hint="eastAsia" w:ascii="仿宋" w:hAnsi="仿宋"/>
          <w:sz w:val="32"/>
          <w:szCs w:val="32"/>
          <w:shd w:val="clear" w:color="auto" w:fill="FFFFFF"/>
        </w:rPr>
        <w:t>建立森林防火工作长效机制，全面提高森林防火综合能力，配合相关部门做好</w:t>
      </w:r>
      <w:r>
        <w:rPr>
          <w:rFonts w:hint="eastAsia" w:ascii="仿宋" w:hAnsi="仿宋"/>
          <w:sz w:val="32"/>
          <w:szCs w:val="32"/>
        </w:rPr>
        <w:t>全区森林防火工作安全稳定工作；</w:t>
      </w:r>
      <w:r>
        <w:rPr>
          <w:rFonts w:hint="eastAsia" w:ascii="仿宋" w:hAnsi="仿宋"/>
          <w:b/>
          <w:sz w:val="32"/>
          <w:szCs w:val="32"/>
        </w:rPr>
        <w:t>二是</w:t>
      </w:r>
      <w:r>
        <w:rPr>
          <w:rFonts w:hint="eastAsia" w:ascii="仿宋" w:hAnsi="仿宋"/>
          <w:sz w:val="32"/>
          <w:szCs w:val="32"/>
          <w:shd w:val="clear" w:color="auto" w:fill="FFFFFF"/>
        </w:rPr>
        <w:t>积极探索小流域灾害防治创新机制，</w:t>
      </w:r>
      <w:r>
        <w:rPr>
          <w:rFonts w:hint="eastAsia" w:ascii="仿宋" w:hAnsi="仿宋"/>
          <w:sz w:val="32"/>
          <w:szCs w:val="32"/>
        </w:rPr>
        <w:t>强化防灾减灾工作的社会化管理和公共服务职责，健全水旱灾害防灾应急响应机制，突出完善水旱灾害防御行政领导负责制、部门责任制、技术责任制，强化责任意识和忧患意识，补充完善防汛物资储备和队伍力量，加强应急演练培训，提高全区水旱灾害防御应对能力和水平。</w:t>
      </w:r>
      <w:r>
        <w:rPr>
          <w:rFonts w:hint="eastAsia" w:ascii="仿宋" w:hAnsi="仿宋"/>
          <w:sz w:val="32"/>
          <w:szCs w:val="32"/>
          <w:shd w:val="clear" w:color="auto" w:fill="FFFFFF"/>
        </w:rPr>
        <w:t xml:space="preserve"> </w:t>
      </w:r>
    </w:p>
    <w:p>
      <w:pPr>
        <w:pStyle w:val="17"/>
        <w:ind w:firstLine="472" w:firstLineChars="147"/>
        <w:rPr>
          <w:rFonts w:hint="eastAsia" w:ascii="仿宋" w:hAnsi="仿宋"/>
          <w:color w:val="3D3D3D"/>
          <w:sz w:val="32"/>
          <w:szCs w:val="32"/>
        </w:rPr>
      </w:pPr>
      <w:r>
        <w:rPr>
          <w:rFonts w:hint="eastAsia" w:ascii="仿宋" w:hAnsi="仿宋"/>
          <w:b/>
          <w:bCs/>
          <w:color w:val="494949"/>
          <w:sz w:val="32"/>
          <w:szCs w:val="32"/>
        </w:rPr>
        <w:t>（</w:t>
      </w:r>
      <w:r>
        <w:rPr>
          <w:rFonts w:ascii="仿宋_GB2312" w:hAnsi="仿宋_GB2312"/>
          <w:b/>
          <w:bCs/>
          <w:sz w:val="32"/>
          <w:szCs w:val="32"/>
        </w:rPr>
        <w:t>四）积极向上争取资金，加大项目投资力度</w:t>
      </w:r>
      <w:r>
        <w:rPr>
          <w:rFonts w:hint="eastAsia" w:ascii="仿宋" w:hAnsi="仿宋"/>
          <w:color w:val="3D3D3D"/>
          <w:sz w:val="32"/>
          <w:szCs w:val="32"/>
        </w:rPr>
        <w:t>。以补齐水灾害防御、水资源保障、水环境治理、林业补植补造、生态环保修复为重点，立足于山水林田湖生命共同体系统保护治理要求，以项目筹备和建设为抓手，以生态文明建设为目标，继续巩固和加强林业、水利基础设施建设，构建生态绿色发展体系，为我区高质量发展、竞争力提升和现代化建设提供坚实的林业、水利支持和保障。</w:t>
      </w:r>
    </w:p>
    <w:p>
      <w:pPr>
        <w:numPr>
          <w:ilvl w:val="0"/>
          <w:numId w:val="1"/>
        </w:numPr>
        <w:rPr>
          <w:rFonts w:ascii="黑体" w:hAnsi="黑体" w:eastAsia="黑体" w:cs="黑体"/>
        </w:rPr>
      </w:pPr>
      <w:r>
        <w:rPr>
          <w:rFonts w:hint="eastAsia" w:ascii="黑体" w:hAnsi="黑体" w:eastAsia="黑体" w:cs="黑体"/>
        </w:rPr>
        <w:t>分项绩效目标</w:t>
      </w:r>
      <w:r>
        <w:rPr>
          <w:rFonts w:ascii="黑体" w:hAnsi="黑体" w:eastAsia="黑体" w:cs="黑体"/>
        </w:rPr>
        <w:t xml:space="preserve">  </w:t>
      </w:r>
    </w:p>
    <w:p>
      <w:pPr>
        <w:numPr>
          <w:ilvl w:val="0"/>
          <w:numId w:val="2"/>
        </w:numPr>
        <w:ind w:firstLine="643" w:firstLineChars="200"/>
        <w:rPr>
          <w:rFonts w:ascii="仿宋" w:hAnsi="仿宋" w:eastAsia="仿宋"/>
          <w:b/>
          <w:bCs/>
        </w:rPr>
      </w:pPr>
      <w:r>
        <w:rPr>
          <w:rFonts w:hint="eastAsia" w:ascii="仿宋" w:hAnsi="仿宋" w:eastAsia="仿宋"/>
          <w:b/>
          <w:bCs/>
        </w:rPr>
        <w:t>综合科</w:t>
      </w:r>
    </w:p>
    <w:p>
      <w:pPr>
        <w:numPr>
          <w:ilvl w:val="0"/>
          <w:numId w:val="3"/>
        </w:numPr>
        <w:ind w:firstLine="640" w:firstLineChars="200"/>
        <w:rPr>
          <w:rFonts w:ascii="仿宋" w:hAnsi="仿宋" w:eastAsia="仿宋"/>
        </w:rPr>
      </w:pPr>
      <w:r>
        <w:rPr>
          <w:rFonts w:hint="eastAsia" w:ascii="仿宋" w:hAnsi="仿宋" w:eastAsia="仿宋"/>
        </w:rPr>
        <w:t>绩效目标：综合科围绕全局中心工作，结合工作实际，履行办公室职能，协助局领导组织、协调机关日常工作，负责拟定和监督执行局机关各项议事规则、工作制度；负责局机关财务与资产管理，文秘、档案、会务、考核，保密、</w:t>
      </w:r>
      <w:r>
        <w:rPr>
          <w:rFonts w:hint="eastAsia" w:ascii="仿宋" w:hAnsi="仿宋" w:eastAsia="仿宋"/>
          <w:color w:val="333333"/>
          <w:shd w:val="clear" w:color="auto" w:fill="FFFFFF"/>
        </w:rPr>
        <w:t>政务公开、信息化、安全生产、新闻宣传</w:t>
      </w:r>
      <w:r>
        <w:rPr>
          <w:rFonts w:hint="eastAsia" w:ascii="仿宋" w:hAnsi="仿宋" w:eastAsia="仿宋"/>
        </w:rPr>
        <w:t>及行政后勤等工作。</w:t>
      </w:r>
    </w:p>
    <w:p>
      <w:pPr>
        <w:numPr>
          <w:ilvl w:val="0"/>
          <w:numId w:val="3"/>
        </w:numPr>
        <w:ind w:firstLine="640" w:firstLineChars="200"/>
        <w:rPr>
          <w:rFonts w:ascii="仿宋" w:hAnsi="仿宋" w:eastAsia="仿宋"/>
        </w:rPr>
      </w:pPr>
      <w:r>
        <w:rPr>
          <w:rFonts w:hint="eastAsia" w:ascii="仿宋" w:hAnsi="仿宋" w:eastAsia="仿宋"/>
        </w:rPr>
        <w:t>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综合业务管理工作完成率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综合文书工作完成率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仿宋" w:hAnsi="仿宋" w:eastAsia="仿宋"/>
                <w:sz w:val="24"/>
                <w:szCs w:val="24"/>
              </w:rPr>
              <w:t>督考、保障工作完成率</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ind w:firstLine="643" w:firstLineChars="200"/>
        <w:rPr>
          <w:rFonts w:ascii="楷体" w:hAnsi="楷体" w:eastAsia="楷体" w:cs="楷体"/>
          <w:b/>
          <w:bCs/>
        </w:rPr>
      </w:pPr>
      <w:r>
        <w:rPr>
          <w:rFonts w:hint="eastAsia" w:ascii="楷体" w:hAnsi="楷体" w:eastAsia="楷体" w:cs="楷体"/>
          <w:b/>
          <w:bCs/>
        </w:rPr>
        <w:t>(二)林政资源管理科</w:t>
      </w:r>
    </w:p>
    <w:p>
      <w:pPr>
        <w:ind w:firstLine="643" w:firstLineChars="200"/>
        <w:rPr>
          <w:rFonts w:ascii="仿宋" w:hAnsi="仿宋" w:eastAsia="仿宋"/>
        </w:rPr>
      </w:pPr>
      <w:r>
        <w:rPr>
          <w:rFonts w:hint="eastAsia" w:ascii="仿宋" w:hAnsi="仿宋" w:eastAsia="仿宋"/>
          <w:b/>
          <w:bCs/>
        </w:rPr>
        <w:t>一、绩效目标</w:t>
      </w:r>
      <w:r>
        <w:rPr>
          <w:rFonts w:hint="eastAsia" w:ascii="仿宋" w:hAnsi="仿宋" w:eastAsia="仿宋"/>
        </w:rPr>
        <w:t>：</w:t>
      </w:r>
    </w:p>
    <w:p>
      <w:pPr>
        <w:ind w:firstLine="640" w:firstLineChars="200"/>
        <w:rPr>
          <w:rFonts w:hint="default" w:ascii="仿宋" w:hAnsi="仿宋" w:eastAsia="仿宋" w:cs="宋体"/>
          <w:lang w:val="en-US"/>
        </w:rPr>
      </w:pPr>
      <w:r>
        <w:rPr>
          <w:rFonts w:hint="eastAsia" w:ascii="仿宋" w:hAnsi="仿宋" w:eastAsia="仿宋"/>
        </w:rPr>
        <w:t>1、</w:t>
      </w:r>
      <w:r>
        <w:rPr>
          <w:rFonts w:hint="eastAsia" w:ascii="仿宋" w:hAnsi="仿宋" w:eastAsia="仿宋" w:cs="宋体"/>
          <w:sz w:val="32"/>
          <w:szCs w:val="32"/>
          <w:lang w:val="en-US" w:eastAsia="zh-CN"/>
        </w:rPr>
        <w:t>依据《中华人民共和国森林法》、《森林防火条例》、《草原防火条例》、承德市政府《森林草原防火令》等法律法规，提高全社会森林草原草原防火法律意识。深入贯彻落实省市对森林草原防火工作的安排部署，开展以“严防森林草原火灾，保护绿色生态家园”为主题的森林防火宣传，全面落实“十个一”宣传内容。2022年火灾预防专项资金3万元，主要用于森林草原防火宣传工作。</w:t>
      </w:r>
    </w:p>
    <w:p>
      <w:pPr>
        <w:ind w:firstLine="640" w:firstLineChars="200"/>
        <w:rPr>
          <w:rFonts w:ascii="仿宋" w:hAnsi="仿宋" w:eastAsia="仿宋" w:cs="宋体"/>
        </w:rPr>
      </w:pPr>
      <w:r>
        <w:rPr>
          <w:rFonts w:hint="eastAsia" w:ascii="仿宋" w:hAnsi="仿宋" w:eastAsia="仿宋" w:cs="宋体"/>
        </w:rPr>
        <w:t>2、</w:t>
      </w:r>
      <w:r>
        <w:rPr>
          <w:rFonts w:hint="eastAsia" w:ascii="仿宋" w:hAnsi="仿宋" w:eastAsia="仿宋"/>
        </w:rPr>
        <w:t>依据财政部、国家林业局、保监会《关于做好森林保险试点工作有关事项的通知》（财金</w:t>
      </w:r>
      <w:r>
        <w:rPr>
          <w:rFonts w:hint="eastAsia" w:ascii="仿宋" w:hAnsi="仿宋" w:eastAsia="仿宋" w:cs="宋体"/>
        </w:rPr>
        <w:t>[2009]165号）和省金融办、省财政厅、省林业厅、河北保监局联合下发的《河北省森林保险试点工作方案》（冀金办[2012]54号）等文件规定。202</w:t>
      </w:r>
      <w:r>
        <w:rPr>
          <w:rFonts w:hint="eastAsia" w:ascii="仿宋" w:hAnsi="仿宋" w:eastAsia="仿宋" w:cs="宋体"/>
          <w:lang w:val="en-US" w:eastAsia="zh-CN"/>
        </w:rPr>
        <w:t>2</w:t>
      </w:r>
      <w:r>
        <w:rPr>
          <w:rFonts w:hint="eastAsia" w:ascii="仿宋" w:hAnsi="仿宋" w:eastAsia="仿宋" w:cs="宋体"/>
        </w:rPr>
        <w:t>年林业保险</w:t>
      </w:r>
      <w:r>
        <w:rPr>
          <w:rFonts w:hint="eastAsia" w:ascii="仿宋" w:hAnsi="仿宋" w:eastAsia="仿宋" w:cs="宋体"/>
          <w:lang w:val="en-US" w:eastAsia="zh-CN"/>
        </w:rPr>
        <w:t>13.92</w:t>
      </w:r>
      <w:r>
        <w:rPr>
          <w:rFonts w:hint="eastAsia" w:ascii="仿宋" w:hAnsi="仿宋" w:eastAsia="仿宋" w:cs="宋体"/>
        </w:rPr>
        <w:t>万元，对全区商品林、公益林、天然林的安全增加保障。</w:t>
      </w:r>
    </w:p>
    <w:p>
      <w:pPr>
        <w:ind w:firstLine="640" w:firstLineChars="200"/>
        <w:rPr>
          <w:rFonts w:hint="eastAsia" w:ascii="仿宋" w:hAnsi="仿宋" w:eastAsia="仿宋" w:cs="宋体"/>
          <w:sz w:val="32"/>
          <w:szCs w:val="32"/>
          <w:lang w:val="en-US" w:eastAsia="zh-CN"/>
        </w:rPr>
      </w:pPr>
      <w:r>
        <w:rPr>
          <w:rFonts w:hint="eastAsia" w:ascii="仿宋" w:hAnsi="仿宋" w:eastAsia="仿宋" w:cs="宋体"/>
        </w:rPr>
        <w:t>3、</w:t>
      </w:r>
      <w:r>
        <w:rPr>
          <w:rFonts w:hint="eastAsia" w:ascii="仿宋" w:hAnsi="仿宋" w:eastAsia="仿宋" w:cs="宋体"/>
          <w:sz w:val="32"/>
          <w:szCs w:val="32"/>
          <w:lang w:val="en-US" w:eastAsia="zh-CN"/>
        </w:rPr>
        <w:t>依据国家林业和草原局关于印发的《乡村护林（草）员管理办法》的通知，2022年天保护林员意外伤害保险2万元，为保障护林员人身安全，为每位护林员缴纳人身意外伤害保险一份，每人保险金额200元。</w:t>
      </w:r>
    </w:p>
    <w:p>
      <w:pPr>
        <w:ind w:firstLine="640" w:firstLineChars="200"/>
        <w:rPr>
          <w:rFonts w:hint="eastAsia" w:ascii="仿宋" w:hAnsi="仿宋" w:eastAsia="仿宋"/>
        </w:rPr>
      </w:pPr>
      <w:r>
        <w:rPr>
          <w:rFonts w:hint="eastAsia" w:ascii="仿宋" w:hAnsi="仿宋" w:eastAsia="仿宋"/>
        </w:rPr>
        <w:t>4、根据承德市野生动物保护工作领导小组办公室关于印发《承德市2020年秋冬季鸟类等野生动物保护专项行动方案》的通知及第二十五次管委会主任办公会“关于非法猎捕野生动物的工作要求。202</w:t>
      </w:r>
      <w:r>
        <w:rPr>
          <w:rFonts w:hint="eastAsia" w:ascii="仿宋" w:hAnsi="仿宋" w:eastAsia="仿宋"/>
          <w:lang w:val="en-US" w:eastAsia="zh-CN"/>
        </w:rPr>
        <w:t>2</w:t>
      </w:r>
      <w:r>
        <w:rPr>
          <w:rFonts w:hint="eastAsia" w:ascii="仿宋" w:hAnsi="仿宋" w:eastAsia="仿宋"/>
        </w:rPr>
        <w:t>年野生动物保护</w:t>
      </w:r>
      <w:r>
        <w:rPr>
          <w:rFonts w:hint="eastAsia" w:ascii="仿宋" w:hAnsi="仿宋" w:eastAsia="仿宋"/>
          <w:lang w:val="en-US" w:eastAsia="zh-CN"/>
        </w:rPr>
        <w:t>10</w:t>
      </w:r>
      <w:r>
        <w:rPr>
          <w:rFonts w:hint="eastAsia" w:ascii="仿宋" w:hAnsi="仿宋" w:eastAsia="仿宋"/>
        </w:rPr>
        <w:t>万元，主要用于加强全区鸟类等野生动物的保护。</w:t>
      </w:r>
    </w:p>
    <w:p>
      <w:pPr>
        <w:ind w:firstLine="640" w:firstLineChars="200"/>
        <w:rPr>
          <w:rFonts w:hint="eastAsia" w:ascii="仿宋" w:hAnsi="仿宋" w:eastAsia="仿宋"/>
          <w:lang w:val="en-US" w:eastAsia="zh-CN"/>
        </w:rPr>
      </w:pPr>
      <w:r>
        <w:rPr>
          <w:rFonts w:hint="eastAsia" w:ascii="仿宋" w:hAnsi="仿宋" w:eastAsia="仿宋"/>
          <w:lang w:val="en-US" w:eastAsia="zh-CN"/>
        </w:rPr>
        <w:t>5、根据关于森林和草原火灾风险普查经费的请示及承林草字【2021】78号文件《承德市森林和草原火灾风险普查实施方案》。2022年森林草原火灾风险普查14.05万元，主要用于森林和草原火灾致灾调查、重点隐患调查及火灾评估等工作。</w:t>
      </w:r>
    </w:p>
    <w:p>
      <w:pPr>
        <w:ind w:firstLine="640" w:firstLineChars="200"/>
        <w:rPr>
          <w:rFonts w:hint="default" w:ascii="仿宋" w:hAnsi="仿宋" w:eastAsia="仿宋"/>
          <w:lang w:val="en-US" w:eastAsia="zh-CN"/>
        </w:rPr>
      </w:pPr>
      <w:r>
        <w:rPr>
          <w:rFonts w:hint="eastAsia" w:ascii="仿宋" w:hAnsi="仿宋" w:eastAsia="仿宋"/>
          <w:lang w:val="en-US" w:eastAsia="zh-CN"/>
        </w:rPr>
        <w:t>6、根据承德市森林和草原火灾局关于建设森林草原防火视频会议系统的通知，2022年森林防火视频会议系统及防火终端设备（对讲机）购置6万元，主要为确保森林公安转隶后市县两级森林 草原防灭火指挥、调度、沟通协调顺畅，建设视频会议系统，实现互联互通。</w:t>
      </w:r>
    </w:p>
    <w:p>
      <w:pPr>
        <w:rPr>
          <w:rFonts w:ascii="仿宋" w:hAnsi="仿宋" w:eastAsia="仿宋"/>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04" w:type="dxa"/>
            <w:vAlign w:val="center"/>
          </w:tcPr>
          <w:p>
            <w:pPr>
              <w:spacing w:line="300" w:lineRule="exact"/>
              <w:rPr>
                <w:rFonts w:hint="eastAsia" w:ascii="仿宋" w:hAnsi="仿宋" w:eastAsia="宋体"/>
                <w:sz w:val="24"/>
                <w:szCs w:val="24"/>
                <w:lang w:eastAsia="zh-CN"/>
              </w:rPr>
            </w:pPr>
            <w:r>
              <w:rPr>
                <w:rFonts w:hint="eastAsia" w:ascii="宋体" w:hAnsi="宋体" w:cs="宋体"/>
                <w:color w:val="000000"/>
                <w:kern w:val="0"/>
                <w:sz w:val="18"/>
                <w:szCs w:val="18"/>
                <w:lang w:val="en-US" w:eastAsia="zh-CN"/>
              </w:rPr>
              <w:t>火灾预防专项，</w:t>
            </w:r>
            <w:r>
              <w:rPr>
                <w:rFonts w:hint="eastAsia" w:ascii="宋体" w:hAnsi="宋体" w:cs="宋体"/>
                <w:color w:val="000000"/>
                <w:kern w:val="0"/>
                <w:sz w:val="18"/>
                <w:szCs w:val="18"/>
              </w:rPr>
              <w:t>森林草原防火</w:t>
            </w:r>
            <w:r>
              <w:rPr>
                <w:rFonts w:hint="eastAsia" w:ascii="宋体" w:hAnsi="宋体" w:cs="宋体"/>
                <w:color w:val="000000"/>
                <w:kern w:val="0"/>
                <w:sz w:val="18"/>
                <w:szCs w:val="18"/>
                <w:lang w:eastAsia="zh-CN"/>
              </w:rPr>
              <w:t>督导到位</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完成全区商品林、公益林、天然林的安全增加保障</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完成陆野生动物的保护</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eastAsia="宋体" w:cs="宋体"/>
                <w:color w:val="000000"/>
                <w:kern w:val="0"/>
                <w:sz w:val="18"/>
                <w:szCs w:val="18"/>
              </w:rPr>
            </w:pPr>
            <w:r>
              <w:rPr>
                <w:rFonts w:hint="eastAsia" w:ascii="宋体" w:hAnsi="宋体" w:cs="宋体"/>
                <w:color w:val="000000"/>
                <w:kern w:val="0"/>
                <w:sz w:val="18"/>
                <w:szCs w:val="18"/>
              </w:rPr>
              <w:t>保障护林员人身安全</w:t>
            </w:r>
          </w:p>
        </w:tc>
        <w:tc>
          <w:tcPr>
            <w:tcW w:w="1704"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eastAsia="zh-CN"/>
              </w:rPr>
              <w:t>森林防火视频系统正常使用</w:t>
            </w:r>
          </w:p>
        </w:tc>
        <w:tc>
          <w:tcPr>
            <w:tcW w:w="1704"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eastAsia="宋体" w:cs="宋体"/>
                <w:color w:val="000000"/>
                <w:kern w:val="0"/>
                <w:sz w:val="18"/>
                <w:szCs w:val="18"/>
                <w:lang w:eastAsia="zh-CN"/>
              </w:rPr>
            </w:pPr>
            <w:r>
              <w:rPr>
                <w:rFonts w:hint="eastAsia" w:ascii="宋体" w:hAnsi="宋体" w:cs="宋体"/>
                <w:color w:val="000000"/>
                <w:kern w:val="0"/>
                <w:sz w:val="18"/>
                <w:szCs w:val="18"/>
                <w:lang w:val="en-US" w:eastAsia="zh-CN"/>
              </w:rPr>
              <w:t>森林和草原火灾致灾调查、重点隐患调查及火灾评估</w:t>
            </w:r>
          </w:p>
        </w:tc>
        <w:tc>
          <w:tcPr>
            <w:tcW w:w="1704"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cs="仿宋"/>
                <w:kern w:val="2"/>
                <w:sz w:val="24"/>
                <w:szCs w:val="24"/>
                <w:lang w:val="en-US" w:eastAsia="zh-CN" w:bidi="ar-SA"/>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ind w:firstLine="643" w:firstLineChars="200"/>
        <w:rPr>
          <w:rFonts w:ascii="仿宋" w:hAnsi="仿宋" w:eastAsia="仿宋"/>
          <w:b/>
        </w:rPr>
      </w:pPr>
      <w:r>
        <w:rPr>
          <w:rFonts w:hint="eastAsia" w:ascii="仿宋" w:hAnsi="仿宋" w:eastAsia="仿宋"/>
          <w:b/>
        </w:rPr>
        <w:t>（三）生态修复科</w:t>
      </w:r>
    </w:p>
    <w:p>
      <w:pPr>
        <w:ind w:firstLine="643" w:firstLineChars="200"/>
        <w:rPr>
          <w:rFonts w:ascii="仿宋" w:hAnsi="仿宋" w:eastAsia="仿宋"/>
          <w:b/>
        </w:rPr>
      </w:pPr>
      <w:r>
        <w:rPr>
          <w:rFonts w:hint="eastAsia" w:ascii="仿宋" w:hAnsi="仿宋" w:eastAsia="仿宋"/>
          <w:b/>
        </w:rPr>
        <w:t>一、绩效目标</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ascii="仿宋" w:hAnsi="仿宋" w:eastAsia="仿宋" w:cs="宋体"/>
        </w:rPr>
      </w:pPr>
      <w:r>
        <w:rPr>
          <w:rFonts w:hint="eastAsia" w:ascii="仿宋" w:hAnsi="仿宋" w:eastAsia="仿宋" w:cs="宋体"/>
        </w:rPr>
        <w:t>1、</w:t>
      </w:r>
      <w:r>
        <w:rPr>
          <w:rFonts w:hint="eastAsia" w:ascii="仿宋" w:hAnsi="仿宋" w:eastAsia="仿宋" w:cs="Times New Roman"/>
          <w:sz w:val="32"/>
          <w:szCs w:val="32"/>
          <w:lang w:val="en-US" w:eastAsia="zh-CN"/>
        </w:rPr>
        <w:t>根据《承德高新区全面推行林长制实施方案》。2022年林长制</w:t>
      </w:r>
      <w:r>
        <w:rPr>
          <w:rFonts w:hint="eastAsia" w:ascii="仿宋" w:hAnsi="仿宋" w:eastAsia="仿宋" w:cs="Times New Roman"/>
          <w:sz w:val="32"/>
          <w:szCs w:val="32"/>
        </w:rPr>
        <w:t>预算资金</w:t>
      </w:r>
      <w:r>
        <w:rPr>
          <w:rFonts w:hint="eastAsia" w:ascii="仿宋" w:hAnsi="仿宋" w:eastAsia="仿宋" w:cs="Times New Roman"/>
          <w:sz w:val="32"/>
          <w:szCs w:val="32"/>
          <w:lang w:val="en-US" w:eastAsia="zh-CN"/>
        </w:rPr>
        <w:t xml:space="preserve">60万元，主要用于林长制智慧平台建立、公示牌设置、人员工资、资料印刷费、宣传培训及办公费等。          </w:t>
      </w:r>
      <w:r>
        <w:rPr>
          <w:rFonts w:hint="eastAsia" w:ascii="仿宋" w:hAnsi="仿宋" w:eastAsia="仿宋"/>
          <w:bCs/>
          <w:snapToGrid w:val="0"/>
          <w:color w:val="000000"/>
          <w:spacing w:val="-4"/>
        </w:rPr>
        <w:t>2、</w:t>
      </w:r>
      <w:r>
        <w:rPr>
          <w:rFonts w:hint="eastAsia" w:ascii="仿宋" w:hAnsi="仿宋" w:eastAsia="仿宋" w:cs="Times New Roman"/>
          <w:sz w:val="32"/>
          <w:szCs w:val="32"/>
          <w:lang w:val="en-US" w:eastAsia="zh-CN"/>
        </w:rPr>
        <w:t>依据河北省森林植被恢复费征收使用管理暂行办法《冀财农（2009）76号》文，第四章第十一条森林植被恢复费专项用于林业主管部门统一安排的植树造林、恢复森林植被，包括调查规划设计、整地、造林、抚育、护林防火、林业有害生物防治、森林资源管护等开支，专款专用，不得截留或挪用。以及人居环境整治村庄绿化方案。2022年植被恢复费造林及2021年人居环境整治项目预算资金60万元，主要工倕完成人工造林500亩，完成2个村人居环境整治重点村的村庄绿化。</w:t>
      </w:r>
    </w:p>
    <w:p>
      <w:pPr>
        <w:ind w:firstLine="640" w:firstLineChars="200"/>
        <w:rPr>
          <w:rFonts w:ascii="仿宋" w:hAnsi="仿宋" w:eastAsia="仿宋" w:cs="宋体"/>
        </w:rPr>
      </w:pPr>
      <w:r>
        <w:rPr>
          <w:rFonts w:hint="eastAsia" w:ascii="仿宋" w:hAnsi="仿宋" w:eastAsia="仿宋" w:cs="宋体"/>
        </w:rPr>
        <w:t>3、</w:t>
      </w:r>
      <w:r>
        <w:rPr>
          <w:rFonts w:hint="eastAsia" w:ascii="仿宋" w:hAnsi="仿宋" w:eastAsia="仿宋" w:cs="Times New Roman"/>
          <w:sz w:val="32"/>
          <w:szCs w:val="32"/>
          <w:lang w:val="en-US" w:eastAsia="zh-CN"/>
        </w:rPr>
        <w:t>依据滨河湿地公园管理预交协议，2022年滨河湿地公园管理费项目预算62.33万元，主要用于完成滨河湿地公园管护，生态优先、绿色发展、科学利用、高效管理。</w:t>
      </w:r>
    </w:p>
    <w:p>
      <w:pPr>
        <w:ind w:firstLine="640" w:firstLineChars="200"/>
        <w:rPr>
          <w:rFonts w:ascii="仿宋" w:hAnsi="仿宋" w:eastAsia="仿宋" w:cs="宋体"/>
        </w:rPr>
      </w:pPr>
      <w:r>
        <w:rPr>
          <w:rFonts w:hint="eastAsia" w:ascii="仿宋" w:hAnsi="仿宋" w:eastAsia="仿宋"/>
        </w:rPr>
        <w:t>4、</w:t>
      </w:r>
      <w:r>
        <w:rPr>
          <w:rFonts w:hint="eastAsia" w:ascii="仿宋" w:hAnsi="仿宋" w:eastAsia="仿宋" w:cs="宋体"/>
        </w:rPr>
        <w:t>按照承德市农村林果实用技术人才职称说不定及管理办法（试行）。2021年农民高级技师贴资金0.9万元，主要用于鼓励农村技术人员建立多样化的服务，补贴金额高级职称3人，每人3000元。</w:t>
      </w:r>
    </w:p>
    <w:p>
      <w:pPr>
        <w:ind w:firstLine="640" w:firstLineChars="200"/>
        <w:rPr>
          <w:rFonts w:ascii="仿宋" w:hAnsi="仿宋" w:eastAsia="仿宋" w:cs="宋体"/>
        </w:rPr>
      </w:pPr>
      <w:r>
        <w:rPr>
          <w:rFonts w:hint="eastAsia" w:ascii="仿宋" w:hAnsi="仿宋" w:eastAsia="仿宋"/>
        </w:rPr>
        <w:t>5、</w:t>
      </w:r>
      <w:r>
        <w:rPr>
          <w:rFonts w:hint="eastAsia" w:ascii="仿宋" w:hAnsi="仿宋" w:eastAsia="仿宋" w:cs="宋体"/>
          <w:sz w:val="32"/>
          <w:szCs w:val="32"/>
          <w:lang w:val="en-US" w:eastAsia="zh-CN"/>
        </w:rPr>
        <w:t>依据滨河湿地公园管理预交协议，滨河湿地公园基础设施需维护情况。滨河湿地公园基础设施维修项目2022年预算120万元，主要用于完成滨河湿地公园基础设施维修，实施有效保护。</w:t>
      </w:r>
    </w:p>
    <w:p>
      <w:pPr>
        <w:ind w:firstLine="640" w:firstLineChars="200"/>
        <w:rPr>
          <w:rFonts w:hint="eastAsia" w:ascii="仿宋" w:hAnsi="仿宋" w:eastAsia="仿宋" w:cs="宋体"/>
          <w:sz w:val="32"/>
          <w:szCs w:val="32"/>
          <w:lang w:val="en-US" w:eastAsia="zh-CN"/>
        </w:rPr>
      </w:pPr>
      <w:r>
        <w:rPr>
          <w:rFonts w:hint="eastAsia" w:ascii="仿宋" w:hAnsi="仿宋" w:eastAsia="仿宋"/>
        </w:rPr>
        <w:t>6、</w:t>
      </w:r>
      <w:r>
        <w:rPr>
          <w:rFonts w:hint="eastAsia" w:ascii="仿宋" w:hAnsi="仿宋" w:eastAsia="仿宋" w:cs="宋体"/>
          <w:sz w:val="32"/>
          <w:szCs w:val="32"/>
          <w:lang w:val="en-US" w:eastAsia="zh-CN"/>
        </w:rPr>
        <w:t>承德市林业和草原局下达工作任务，高度重视林业和草原生系统的安全生产工作。干果果品安全项目2022年预算3万元，主要用于对全区果品（干果）情况进行宣传、监测等工作。</w:t>
      </w:r>
    </w:p>
    <w:p>
      <w:pPr>
        <w:pStyle w:val="2"/>
        <w:rPr>
          <w:rFonts w:hint="default"/>
          <w:lang w:val="en-US"/>
        </w:rPr>
      </w:pPr>
      <w:r>
        <w:rPr>
          <w:rFonts w:hint="eastAsia" w:cs="宋体"/>
          <w:sz w:val="32"/>
          <w:szCs w:val="32"/>
          <w:lang w:val="en-US" w:eastAsia="zh-CN"/>
        </w:rPr>
        <w:t xml:space="preserve">    7、</w:t>
      </w:r>
      <w:r>
        <w:rPr>
          <w:rFonts w:hint="eastAsia" w:ascii="仿宋" w:hAnsi="仿宋" w:eastAsia="仿宋" w:cs="Times New Roman"/>
          <w:sz w:val="32"/>
          <w:szCs w:val="32"/>
          <w:lang w:val="en-US" w:eastAsia="zh-CN"/>
        </w:rPr>
        <w:t>依据《河北省古树名木保护办法》。古树名木是不可再生的历史资源，为提高其科研及历史价值。</w:t>
      </w:r>
      <w:r>
        <w:rPr>
          <w:rFonts w:hint="eastAsia" w:ascii="仿宋" w:hAnsi="仿宋" w:eastAsia="仿宋" w:cs="Times New Roman"/>
          <w:sz w:val="32"/>
          <w:szCs w:val="32"/>
          <w:lang w:eastAsia="zh-CN"/>
        </w:rPr>
        <w:t>古树名木保护项目</w:t>
      </w:r>
      <w:r>
        <w:rPr>
          <w:rFonts w:hint="eastAsia" w:ascii="仿宋" w:hAnsi="仿宋" w:eastAsia="仿宋" w:cs="Times New Roman"/>
          <w:sz w:val="32"/>
          <w:szCs w:val="32"/>
          <w:lang w:val="en-US" w:eastAsia="zh-CN"/>
        </w:rPr>
        <w:t>2022年</w:t>
      </w:r>
      <w:r>
        <w:rPr>
          <w:rFonts w:hint="eastAsia" w:ascii="仿宋" w:hAnsi="仿宋" w:eastAsia="仿宋" w:cs="Times New Roman"/>
          <w:sz w:val="32"/>
          <w:szCs w:val="32"/>
          <w:lang w:eastAsia="zh-CN"/>
        </w:rPr>
        <w:t>预算</w:t>
      </w:r>
      <w:r>
        <w:rPr>
          <w:rFonts w:hint="eastAsia" w:ascii="仿宋" w:hAnsi="仿宋" w:eastAsia="仿宋" w:cs="Times New Roman"/>
          <w:sz w:val="32"/>
          <w:szCs w:val="32"/>
          <w:lang w:val="en-US" w:eastAsia="zh-CN"/>
        </w:rPr>
        <w:t>5万元，主要用于加固基础，增加防护措施，完成3株名木古树危树的养护。</w:t>
      </w:r>
    </w:p>
    <w:p>
      <w:pPr>
        <w:rPr>
          <w:rFonts w:ascii="仿宋" w:hAnsi="仿宋" w:eastAsia="仿宋"/>
        </w:rPr>
      </w:pPr>
      <w:r>
        <w:rPr>
          <w:rFonts w:hint="eastAsia" w:ascii="仿宋" w:hAnsi="仿宋" w:eastAsia="仿宋"/>
        </w:rPr>
        <w:t>二、绩效指标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818"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Merge w:val="continue"/>
            <w:vAlign w:val="center"/>
          </w:tcPr>
          <w:p>
            <w:pPr>
              <w:jc w:val="center"/>
              <w:rPr>
                <w:rFonts w:ascii="仿宋" w:hAnsi="仿宋" w:eastAsia="仿宋"/>
                <w:b/>
                <w:bCs/>
                <w:sz w:val="24"/>
                <w:szCs w:val="24"/>
              </w:rPr>
            </w:pP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70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70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704" w:type="dxa"/>
            <w:vAlign w:val="center"/>
          </w:tcPr>
          <w:p>
            <w:pPr>
              <w:spacing w:line="300" w:lineRule="exact"/>
              <w:rPr>
                <w:rFonts w:hint="default" w:ascii="仿宋" w:hAnsi="仿宋" w:eastAsia="仿宋"/>
                <w:sz w:val="24"/>
                <w:szCs w:val="24"/>
                <w:lang w:val="en-US"/>
              </w:rPr>
            </w:pPr>
            <w:r>
              <w:rPr>
                <w:rFonts w:hint="eastAsia" w:ascii="宋体" w:hAnsi="宋体" w:cs="宋体"/>
                <w:color w:val="000000"/>
                <w:kern w:val="0"/>
                <w:sz w:val="18"/>
                <w:szCs w:val="18"/>
              </w:rPr>
              <w:t>完成</w:t>
            </w:r>
            <w:r>
              <w:rPr>
                <w:rFonts w:hint="eastAsia" w:ascii="宋体" w:hAnsi="宋体" w:cs="宋体"/>
                <w:color w:val="000000"/>
                <w:kern w:val="0"/>
                <w:sz w:val="18"/>
                <w:szCs w:val="18"/>
                <w:lang w:val="en-US" w:eastAsia="zh-CN"/>
              </w:rPr>
              <w:t>林长制智慧平台建立及宣传等工作</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jc w:val="center"/>
        </w:trPr>
        <w:tc>
          <w:tcPr>
            <w:tcW w:w="1704"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完成</w:t>
            </w:r>
            <w:r>
              <w:rPr>
                <w:rFonts w:hint="eastAsia" w:ascii="宋体" w:hAnsi="宋体" w:cs="宋体"/>
                <w:color w:val="000000"/>
                <w:kern w:val="0"/>
                <w:sz w:val="18"/>
                <w:szCs w:val="18"/>
                <w:lang w:val="en-US" w:eastAsia="zh-CN"/>
              </w:rPr>
              <w:t>2个村人居环境整治重点村的村庄绿化</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完成滨河湿地公园管护</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eastAsia="仿宋" w:cs="宋体"/>
                <w:color w:val="000000"/>
                <w:kern w:val="0"/>
                <w:sz w:val="18"/>
                <w:szCs w:val="18"/>
                <w:lang w:val="en-US" w:eastAsia="zh-CN"/>
              </w:rPr>
            </w:pPr>
            <w:r>
              <w:rPr>
                <w:rFonts w:hint="eastAsia" w:ascii="宋体" w:hAnsi="宋体" w:cs="宋体"/>
                <w:color w:val="000000"/>
                <w:kern w:val="0"/>
                <w:sz w:val="18"/>
                <w:szCs w:val="18"/>
                <w:lang w:val="en-US" w:eastAsia="zh-CN"/>
              </w:rPr>
              <w:t>完成农民高级技师贴资金发放</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完成滨河湿地公园基础设施维修</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完成全区果品（干果）情况进行宣传、监测</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04" w:type="dxa"/>
            <w:vAlign w:val="center"/>
          </w:tcPr>
          <w:p>
            <w:pPr>
              <w:spacing w:line="300" w:lineRule="exact"/>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完成名木古树危树的养护</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70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70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numPr>
          <w:ilvl w:val="0"/>
          <w:numId w:val="4"/>
        </w:numPr>
        <w:rPr>
          <w:rFonts w:ascii="仿宋" w:hAnsi="仿宋" w:eastAsia="仿宋"/>
          <w:b/>
          <w:bCs/>
        </w:rPr>
      </w:pPr>
      <w:r>
        <w:rPr>
          <w:rFonts w:hint="eastAsia" w:ascii="仿宋" w:hAnsi="仿宋" w:eastAsia="仿宋"/>
          <w:b/>
          <w:bCs/>
        </w:rPr>
        <w:t>水利建设管理科</w:t>
      </w:r>
    </w:p>
    <w:p>
      <w:pPr>
        <w:numPr>
          <w:ilvl w:val="0"/>
          <w:numId w:val="5"/>
        </w:numPr>
        <w:rPr>
          <w:rFonts w:ascii="仿宋" w:hAnsi="仿宋" w:eastAsia="仿宋"/>
          <w:b/>
          <w:bCs/>
        </w:rPr>
      </w:pPr>
      <w:r>
        <w:rPr>
          <w:rFonts w:hint="eastAsia" w:ascii="仿宋" w:hAnsi="仿宋" w:eastAsia="仿宋"/>
          <w:b/>
          <w:bCs/>
        </w:rPr>
        <w:t>绩效目标：</w:t>
      </w:r>
    </w:p>
    <w:p>
      <w:pPr>
        <w:numPr>
          <w:ilvl w:val="0"/>
          <w:numId w:val="0"/>
        </w:numPr>
        <w:ind w:firstLine="560" w:firstLineChars="200"/>
        <w:rPr>
          <w:rFonts w:hint="eastAsia"/>
          <w:color w:val="auto"/>
          <w:sz w:val="28"/>
          <w:szCs w:val="28"/>
        </w:rPr>
      </w:pPr>
      <w:r>
        <w:rPr>
          <w:rFonts w:hint="eastAsia"/>
          <w:color w:val="auto"/>
          <w:sz w:val="28"/>
          <w:szCs w:val="28"/>
          <w:lang w:val="en-US" w:eastAsia="zh-CN"/>
        </w:rPr>
        <w:t>1、</w:t>
      </w:r>
      <w:r>
        <w:rPr>
          <w:rFonts w:hint="eastAsia"/>
          <w:color w:val="auto"/>
          <w:sz w:val="28"/>
          <w:szCs w:val="28"/>
        </w:rPr>
        <w:t>依据承德高新区管委会关于印发《高新区农村供水工程专业化管护机构组建实施方案》（承高管字【2020】32号）文件及专业化管护合同。对全区2个镇35个行政村的供水工程进行专业专业化管护，负责日常安全检查、工程水源、消毒净化设备、电力设备、供水管网和蓄水池等设施的日常专业化维修和养护，定期做好泵房、蓄水池等设施卫生清理，落实资金10万元。</w:t>
      </w:r>
    </w:p>
    <w:p>
      <w:pPr>
        <w:numPr>
          <w:ilvl w:val="0"/>
          <w:numId w:val="0"/>
        </w:numPr>
        <w:ind w:firstLine="560" w:firstLineChars="200"/>
        <w:rPr>
          <w:rFonts w:hint="eastAsia"/>
          <w:color w:val="auto"/>
          <w:sz w:val="28"/>
          <w:szCs w:val="28"/>
        </w:rPr>
      </w:pPr>
      <w:r>
        <w:rPr>
          <w:rFonts w:hint="eastAsia"/>
          <w:color w:val="auto"/>
          <w:sz w:val="28"/>
          <w:szCs w:val="28"/>
          <w:lang w:val="en-US" w:eastAsia="zh-CN"/>
        </w:rPr>
        <w:t>2、</w:t>
      </w:r>
      <w:r>
        <w:rPr>
          <w:rFonts w:hint="eastAsia"/>
          <w:color w:val="auto"/>
          <w:sz w:val="28"/>
          <w:szCs w:val="28"/>
        </w:rPr>
        <w:t>依据《抗旱条例》，保障农村饮水安全</w:t>
      </w:r>
      <w:r>
        <w:rPr>
          <w:rFonts w:hint="eastAsia"/>
          <w:color w:val="auto"/>
          <w:sz w:val="28"/>
          <w:szCs w:val="28"/>
          <w:lang w:eastAsia="zh-CN"/>
        </w:rPr>
        <w:t>。</w:t>
      </w:r>
      <w:r>
        <w:rPr>
          <w:rFonts w:hint="eastAsia"/>
          <w:color w:val="auto"/>
          <w:sz w:val="28"/>
          <w:szCs w:val="28"/>
        </w:rPr>
        <w:t>逐步推进农村供水保障工作，2022年解决1200口人的饮水安全问题， 主要实施建立水源、机泵配套、管网完善等措施，实施集中供水工程，减少分散供水人口，提高高新区农村饮水自来岁普及率，2022年落实资金100万元。</w:t>
      </w:r>
    </w:p>
    <w:p>
      <w:pPr>
        <w:numPr>
          <w:ilvl w:val="0"/>
          <w:numId w:val="0"/>
        </w:numPr>
        <w:ind w:firstLine="560" w:firstLineChars="200"/>
        <w:rPr>
          <w:rFonts w:hint="eastAsia"/>
          <w:color w:val="auto"/>
          <w:sz w:val="28"/>
          <w:szCs w:val="28"/>
        </w:rPr>
      </w:pPr>
      <w:r>
        <w:rPr>
          <w:rFonts w:hint="eastAsia"/>
          <w:color w:val="auto"/>
          <w:sz w:val="28"/>
          <w:szCs w:val="28"/>
          <w:lang w:val="en-US" w:eastAsia="zh-CN"/>
        </w:rPr>
        <w:t>3、</w:t>
      </w:r>
      <w:r>
        <w:rPr>
          <w:rFonts w:hint="eastAsia"/>
          <w:color w:val="auto"/>
          <w:sz w:val="28"/>
          <w:szCs w:val="28"/>
        </w:rPr>
        <w:t>依据承德市政府《关于全面加强水库除险加固和运行管护工作的通知》（承市政办字【2021】50号），要求及时组织开展安全鉴定，首次安全鉴定应在竣工验收或下闸蓄水验收后5年内进行，以后应每隔6-10年进行一次。完成天外、白河南2座水库的安全鉴定10万元。</w:t>
      </w:r>
    </w:p>
    <w:p>
      <w:pPr>
        <w:numPr>
          <w:ilvl w:val="0"/>
          <w:numId w:val="0"/>
        </w:numPr>
        <w:ind w:firstLine="560" w:firstLineChars="200"/>
        <w:rPr>
          <w:rFonts w:hint="eastAsia"/>
          <w:color w:val="0000FF"/>
          <w:sz w:val="28"/>
          <w:szCs w:val="28"/>
        </w:rPr>
      </w:pPr>
      <w:r>
        <w:rPr>
          <w:rFonts w:hint="eastAsia"/>
          <w:color w:val="auto"/>
          <w:sz w:val="28"/>
          <w:szCs w:val="28"/>
          <w:lang w:val="en-US" w:eastAsia="zh-CN"/>
        </w:rPr>
        <w:t>4、</w:t>
      </w:r>
      <w:r>
        <w:rPr>
          <w:rFonts w:hint="eastAsia"/>
          <w:color w:val="auto"/>
          <w:sz w:val="28"/>
          <w:szCs w:val="28"/>
        </w:rPr>
        <w:t>依据中华人民共和国水法第8条，安全生产法、水资源管理条例，推广节约用水新技术、新工艺；2022年预算3万元，用于学习推广水利各项工作新技术，新知识，做好安全生产工作宣传。</w:t>
      </w:r>
    </w:p>
    <w:p>
      <w:pPr>
        <w:numPr>
          <w:ilvl w:val="0"/>
          <w:numId w:val="0"/>
        </w:numPr>
        <w:ind w:firstLine="560" w:firstLineChars="200"/>
        <w:rPr>
          <w:rFonts w:hint="eastAsia"/>
          <w:color w:val="auto"/>
          <w:sz w:val="28"/>
          <w:szCs w:val="28"/>
        </w:rPr>
      </w:pPr>
      <w:r>
        <w:rPr>
          <w:rFonts w:hint="eastAsia"/>
          <w:color w:val="auto"/>
          <w:sz w:val="28"/>
          <w:szCs w:val="28"/>
          <w:lang w:val="en-US" w:eastAsia="zh-CN"/>
        </w:rPr>
        <w:t>5、</w:t>
      </w:r>
      <w:r>
        <w:rPr>
          <w:rFonts w:hint="eastAsia"/>
          <w:color w:val="auto"/>
          <w:sz w:val="28"/>
          <w:szCs w:val="28"/>
        </w:rPr>
        <w:t>依据中华人民共和国水法第十四条、第十七条，专业规划由县级以上人民政府有关部门编制，及领导交办事项</w:t>
      </w:r>
      <w:r>
        <w:rPr>
          <w:rFonts w:hint="eastAsia"/>
          <w:color w:val="auto"/>
          <w:sz w:val="28"/>
          <w:szCs w:val="28"/>
          <w:lang w:eastAsia="zh-CN"/>
        </w:rPr>
        <w:t>。</w:t>
      </w:r>
      <w:r>
        <w:rPr>
          <w:rFonts w:hint="eastAsia"/>
          <w:color w:val="auto"/>
          <w:sz w:val="28"/>
          <w:szCs w:val="28"/>
        </w:rPr>
        <w:t>完成对高新区区域内水利规计编制。包括《承德高新区滦河综合规划》、《白河治理工程可研报告》、以及河道清淤、农村饮水安全实施方案编制等，总计需规划、设计编制费125万元。</w:t>
      </w:r>
    </w:p>
    <w:p>
      <w:pPr>
        <w:numPr>
          <w:ilvl w:val="0"/>
          <w:numId w:val="0"/>
        </w:numPr>
        <w:ind w:firstLine="560" w:firstLineChars="200"/>
        <w:rPr>
          <w:rFonts w:hint="eastAsia"/>
          <w:color w:val="auto"/>
          <w:sz w:val="28"/>
          <w:szCs w:val="28"/>
        </w:rPr>
      </w:pPr>
      <w:r>
        <w:rPr>
          <w:rFonts w:hint="eastAsia"/>
          <w:color w:val="auto"/>
          <w:sz w:val="28"/>
          <w:szCs w:val="28"/>
          <w:lang w:val="en-US" w:eastAsia="zh-CN"/>
        </w:rPr>
        <w:t>6、</w:t>
      </w:r>
      <w:r>
        <w:rPr>
          <w:rFonts w:hint="eastAsia"/>
          <w:color w:val="auto"/>
          <w:sz w:val="28"/>
          <w:szCs w:val="28"/>
        </w:rPr>
        <w:t>由于我局工程较多，技术人员不足，需要委托第三方对工程前期的设计、工程预算造价、结（决）算审计、管理及验收，需要资金人民币70万元。</w:t>
      </w:r>
    </w:p>
    <w:p>
      <w:pPr>
        <w:numPr>
          <w:ilvl w:val="0"/>
          <w:numId w:val="0"/>
        </w:numPr>
        <w:ind w:firstLine="560" w:firstLineChars="200"/>
        <w:rPr>
          <w:rFonts w:hint="eastAsia"/>
          <w:color w:val="auto"/>
          <w:sz w:val="28"/>
          <w:szCs w:val="28"/>
        </w:rPr>
      </w:pPr>
      <w:r>
        <w:rPr>
          <w:rFonts w:hint="eastAsia"/>
          <w:color w:val="auto"/>
          <w:sz w:val="28"/>
          <w:szCs w:val="28"/>
          <w:lang w:val="en-US" w:eastAsia="zh-CN"/>
        </w:rPr>
        <w:t>7、</w:t>
      </w:r>
      <w:r>
        <w:rPr>
          <w:rFonts w:hint="eastAsia"/>
          <w:color w:val="auto"/>
          <w:sz w:val="28"/>
          <w:szCs w:val="28"/>
        </w:rPr>
        <w:t>政策承德市委主要领导交办事项提示函</w:t>
      </w:r>
      <w:r>
        <w:rPr>
          <w:rFonts w:hint="eastAsia"/>
          <w:color w:val="auto"/>
          <w:sz w:val="28"/>
          <w:szCs w:val="28"/>
          <w:lang w:eastAsia="zh-CN"/>
        </w:rPr>
        <w:t>。</w:t>
      </w:r>
      <w:r>
        <w:rPr>
          <w:rFonts w:hint="eastAsia"/>
          <w:color w:val="auto"/>
          <w:sz w:val="28"/>
          <w:szCs w:val="28"/>
        </w:rPr>
        <w:t xml:space="preserve"> 对高新区5座橡胶坝安装常用电网设施、对坝袋及机电设施进行维修、实施滦河一、二道橡胶坝库区清淤1200万元。</w:t>
      </w:r>
    </w:p>
    <w:p>
      <w:pPr>
        <w:numPr>
          <w:ilvl w:val="0"/>
          <w:numId w:val="0"/>
        </w:numPr>
        <w:ind w:firstLine="560" w:firstLineChars="200"/>
        <w:rPr>
          <w:rFonts w:hint="eastAsia"/>
          <w:color w:val="auto"/>
          <w:sz w:val="28"/>
          <w:szCs w:val="28"/>
        </w:rPr>
      </w:pPr>
      <w:r>
        <w:rPr>
          <w:rFonts w:hint="eastAsia"/>
          <w:color w:val="auto"/>
          <w:sz w:val="28"/>
          <w:szCs w:val="28"/>
          <w:lang w:val="en-US" w:eastAsia="zh-CN"/>
        </w:rPr>
        <w:t>8、</w:t>
      </w:r>
      <w:r>
        <w:rPr>
          <w:rFonts w:hint="eastAsia"/>
          <w:color w:val="auto"/>
          <w:sz w:val="28"/>
          <w:szCs w:val="28"/>
        </w:rPr>
        <w:t>依据河北省承德市双桥区人民法院民事调解书（2016）冀0802民初127号，偿还橡胶坝运行维护历史欠账48万元，同时支付其他4道橡胶坝的运行管理费，总计250万元。</w:t>
      </w:r>
    </w:p>
    <w:p>
      <w:pPr>
        <w:numPr>
          <w:ilvl w:val="0"/>
          <w:numId w:val="0"/>
        </w:numPr>
        <w:ind w:firstLine="560" w:firstLineChars="200"/>
        <w:rPr>
          <w:rFonts w:hint="eastAsia"/>
          <w:color w:val="auto"/>
          <w:sz w:val="28"/>
          <w:szCs w:val="28"/>
        </w:rPr>
      </w:pPr>
      <w:r>
        <w:rPr>
          <w:rFonts w:hint="eastAsia"/>
          <w:color w:val="auto"/>
          <w:sz w:val="28"/>
          <w:szCs w:val="28"/>
          <w:lang w:val="en-US" w:eastAsia="zh-CN"/>
        </w:rPr>
        <w:t>9、按照</w:t>
      </w:r>
      <w:r>
        <w:rPr>
          <w:rFonts w:hint="eastAsia"/>
          <w:color w:val="auto"/>
          <w:sz w:val="28"/>
          <w:szCs w:val="28"/>
        </w:rPr>
        <w:t>领导交办</w:t>
      </w:r>
      <w:r>
        <w:rPr>
          <w:rFonts w:hint="eastAsia"/>
          <w:color w:val="auto"/>
          <w:sz w:val="28"/>
          <w:szCs w:val="28"/>
          <w:lang w:eastAsia="zh-CN"/>
        </w:rPr>
        <w:t>要求。</w:t>
      </w:r>
      <w:r>
        <w:rPr>
          <w:rFonts w:hint="eastAsia"/>
          <w:color w:val="auto"/>
          <w:sz w:val="28"/>
          <w:szCs w:val="28"/>
        </w:rPr>
        <w:t>启动尚品花园小区外滦河防洪堤建设，包括项目立项、设计及招投标相关工作，落实资金400万元。</w:t>
      </w:r>
    </w:p>
    <w:p>
      <w:pPr>
        <w:ind w:firstLine="548" w:firstLineChars="196"/>
        <w:rPr>
          <w:rFonts w:hint="eastAsia"/>
          <w:color w:val="auto"/>
          <w:sz w:val="28"/>
          <w:szCs w:val="28"/>
        </w:rPr>
      </w:pPr>
      <w:r>
        <w:rPr>
          <w:rFonts w:hint="eastAsia"/>
          <w:color w:val="auto"/>
          <w:sz w:val="28"/>
          <w:szCs w:val="28"/>
          <w:lang w:val="en-US" w:eastAsia="zh-CN"/>
        </w:rPr>
        <w:t>10、依据抗旱管理条例。采取打井及配备水泵措施，解决全区农村饮水临时性缺水及设备管护更换问题，预算10.</w:t>
      </w:r>
      <w:r>
        <w:rPr>
          <w:rFonts w:hint="eastAsia"/>
          <w:color w:val="auto"/>
          <w:sz w:val="28"/>
          <w:szCs w:val="28"/>
        </w:rPr>
        <w:t>6万元</w:t>
      </w:r>
    </w:p>
    <w:p>
      <w:pPr>
        <w:pStyle w:val="2"/>
        <w:keepNext w:val="0"/>
        <w:keepLines w:val="0"/>
        <w:pageBreakBefore w:val="0"/>
        <w:widowControl w:val="0"/>
        <w:kinsoku/>
        <w:wordWrap/>
        <w:overflowPunct/>
        <w:topLinePunct w:val="0"/>
        <w:autoSpaceDE/>
        <w:autoSpaceDN/>
        <w:bidi w:val="0"/>
        <w:adjustRightInd/>
        <w:snapToGrid/>
        <w:ind w:left="0" w:firstLine="560" w:firstLineChars="200"/>
        <w:textAlignment w:val="auto"/>
        <w:rPr>
          <w:rFonts w:hint="eastAsia" w:ascii="Calibri" w:hAnsi="Calibri" w:eastAsia="宋体" w:cs="仿宋"/>
          <w:color w:val="auto"/>
          <w:kern w:val="2"/>
          <w:sz w:val="28"/>
          <w:szCs w:val="28"/>
          <w:lang w:val="en-US" w:eastAsia="zh-CN" w:bidi="ar-SA"/>
        </w:rPr>
      </w:pPr>
      <w:r>
        <w:rPr>
          <w:rFonts w:hint="eastAsia" w:ascii="Calibri" w:hAnsi="Calibri" w:eastAsia="宋体" w:cs="仿宋"/>
          <w:color w:val="auto"/>
          <w:kern w:val="2"/>
          <w:sz w:val="28"/>
          <w:szCs w:val="28"/>
          <w:lang w:val="en-US" w:eastAsia="zh-CN" w:bidi="ar-SA"/>
        </w:rPr>
        <w:t>11、依据承德市防汛抗旱指挥部关于开展山洪灾害基层防御体系标准化建设的实施意见（承市防指【2014】3号），要求村级防汛组织配备简易雨量报警器；承德高新区简易雨量采购合同书。完成35个村简易雨量站安装，总计10万元。</w:t>
      </w:r>
    </w:p>
    <w:p>
      <w:pPr>
        <w:ind w:firstLine="548" w:firstLineChars="196"/>
        <w:rPr>
          <w:rFonts w:hint="eastAsia" w:ascii="Calibri" w:hAnsi="Calibri" w:eastAsia="宋体" w:cs="仿宋"/>
          <w:color w:val="auto"/>
          <w:kern w:val="2"/>
          <w:sz w:val="28"/>
          <w:szCs w:val="28"/>
          <w:lang w:val="en-US" w:eastAsia="zh-CN" w:bidi="ar-SA"/>
        </w:rPr>
      </w:pPr>
      <w:r>
        <w:rPr>
          <w:rFonts w:hint="eastAsia" w:ascii="Calibri" w:hAnsi="Calibri" w:eastAsia="宋体" w:cs="仿宋"/>
          <w:color w:val="auto"/>
          <w:kern w:val="2"/>
          <w:sz w:val="28"/>
          <w:szCs w:val="28"/>
          <w:lang w:val="en-US" w:eastAsia="zh-CN" w:bidi="ar-SA"/>
        </w:rPr>
        <w:t>12、依据承德市政府《关于全面加强水库除险加固和运行管护工作的通知》（承市政办字【2021】50号），要求严格落实水库安全运行保障措施，按照小（二）型水库每年5.1万元的标准落实小型水库运行管护区级财政配套资金。落实2座水库财政配套资金10.2万元每年，总计预算20.4万元，含2021年未落实经费10.2万元。</w:t>
      </w:r>
    </w:p>
    <w:p>
      <w:pPr>
        <w:ind w:firstLine="548" w:firstLineChars="196"/>
        <w:rPr>
          <w:rFonts w:hint="eastAsia"/>
          <w:color w:val="auto"/>
          <w:sz w:val="28"/>
          <w:szCs w:val="28"/>
        </w:rPr>
      </w:pPr>
      <w:r>
        <w:rPr>
          <w:rFonts w:hint="eastAsia" w:ascii="Calibri" w:hAnsi="Calibri" w:eastAsia="宋体" w:cs="仿宋"/>
          <w:color w:val="auto"/>
          <w:kern w:val="2"/>
          <w:sz w:val="28"/>
          <w:szCs w:val="28"/>
          <w:lang w:val="en-US" w:eastAsia="zh-CN" w:bidi="ar-SA"/>
        </w:rPr>
        <w:t>13、依据河北省水利厅《关于做好2021年度小型水库雨水情测报和安全监测设施实施的通知》（冀水管函【2021】17号），要求实施2座水库的工程建设。文件规定雨水情自动测报小(2)型水库每座8万元，大坝安全监测自动化设施每座6万元</w:t>
      </w:r>
      <w:r>
        <w:rPr>
          <w:rFonts w:hint="eastAsia" w:cs="仿宋"/>
          <w:color w:val="auto"/>
          <w:kern w:val="2"/>
          <w:sz w:val="28"/>
          <w:szCs w:val="28"/>
          <w:lang w:val="en-US" w:eastAsia="zh-CN" w:bidi="ar-SA"/>
        </w:rPr>
        <w:t>。</w:t>
      </w:r>
      <w:r>
        <w:rPr>
          <w:rFonts w:hint="eastAsia" w:ascii="Calibri" w:hAnsi="Calibri" w:eastAsia="宋体" w:cs="仿宋"/>
          <w:color w:val="auto"/>
          <w:kern w:val="2"/>
          <w:sz w:val="28"/>
          <w:szCs w:val="28"/>
          <w:lang w:val="en-US" w:eastAsia="zh-CN" w:bidi="ar-SA"/>
        </w:rPr>
        <w:t>落实2座水库雨水情测报及安全监测总计28万元。</w:t>
      </w:r>
    </w:p>
    <w:p>
      <w:pPr>
        <w:rPr>
          <w:rFonts w:ascii="仿宋" w:hAnsi="仿宋" w:eastAsia="仿宋"/>
          <w:b/>
          <w:bCs/>
        </w:rPr>
      </w:pPr>
      <w:r>
        <w:rPr>
          <w:rFonts w:hint="eastAsia" w:ascii="仿宋" w:hAnsi="仿宋" w:eastAsia="仿宋"/>
          <w:b/>
          <w:bCs/>
        </w:rPr>
        <w:t>二、绩效指标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08"/>
        <w:gridCol w:w="1565"/>
        <w:gridCol w:w="1549"/>
        <w:gridCol w:w="1550"/>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351"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b/>
                <w:bCs/>
                <w:sz w:val="24"/>
                <w:szCs w:val="24"/>
              </w:rPr>
            </w:pPr>
          </w:p>
        </w:tc>
        <w:tc>
          <w:tcPr>
            <w:tcW w:w="1597"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584"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585"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585"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71" w:type="dxa"/>
            <w:vAlign w:val="center"/>
          </w:tcPr>
          <w:p>
            <w:pPr>
              <w:spacing w:line="300" w:lineRule="exact"/>
              <w:rPr>
                <w:rFonts w:ascii="仿宋" w:hAnsi="仿宋" w:eastAsia="仿宋"/>
                <w:sz w:val="24"/>
                <w:szCs w:val="24"/>
              </w:rPr>
            </w:pPr>
            <w:r>
              <w:rPr>
                <w:rFonts w:hint="eastAsia" w:ascii="仿宋" w:hAnsi="仿宋" w:eastAsia="仿宋"/>
                <w:sz w:val="24"/>
                <w:szCs w:val="24"/>
              </w:rPr>
              <w:t>工作任务完成率</w:t>
            </w:r>
          </w:p>
        </w:tc>
        <w:tc>
          <w:tcPr>
            <w:tcW w:w="159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58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Align w:val="center"/>
          </w:tcPr>
          <w:p>
            <w:pPr>
              <w:spacing w:line="300" w:lineRule="exact"/>
              <w:rPr>
                <w:rFonts w:ascii="仿宋" w:hAnsi="仿宋" w:eastAsia="仿宋"/>
                <w:sz w:val="24"/>
                <w:szCs w:val="24"/>
              </w:rPr>
            </w:pPr>
            <w:r>
              <w:rPr>
                <w:rFonts w:hint="eastAsia" w:ascii="仿宋" w:hAnsi="仿宋" w:eastAsia="仿宋"/>
                <w:sz w:val="24"/>
                <w:szCs w:val="24"/>
              </w:rPr>
              <w:t>白河干流黄旗湾引水工程完成率</w:t>
            </w:r>
          </w:p>
        </w:tc>
        <w:tc>
          <w:tcPr>
            <w:tcW w:w="159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58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Align w:val="center"/>
          </w:tcPr>
          <w:p>
            <w:pPr>
              <w:spacing w:line="300" w:lineRule="exact"/>
              <w:rPr>
                <w:rFonts w:ascii="仿宋" w:hAnsi="仿宋" w:eastAsia="仿宋"/>
                <w:sz w:val="24"/>
                <w:szCs w:val="24"/>
              </w:rPr>
            </w:pPr>
            <w:r>
              <w:rPr>
                <w:rFonts w:hint="eastAsia" w:ascii="仿宋" w:hAnsi="仿宋" w:eastAsia="仿宋"/>
                <w:sz w:val="24"/>
                <w:szCs w:val="24"/>
              </w:rPr>
              <w:t>工程质量验收合格率</w:t>
            </w:r>
          </w:p>
        </w:tc>
        <w:tc>
          <w:tcPr>
            <w:tcW w:w="159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58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71" w:type="dxa"/>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水利规划编制完成率</w:t>
            </w:r>
          </w:p>
        </w:tc>
        <w:tc>
          <w:tcPr>
            <w:tcW w:w="1597"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584"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585"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spacing w:line="300" w:lineRule="exact"/>
              <w:rPr>
                <w:rFonts w:ascii="仿宋" w:hAnsi="仿宋" w:eastAsia="仿宋"/>
                <w:sz w:val="24"/>
                <w:szCs w:val="24"/>
              </w:rPr>
            </w:pPr>
            <w:r>
              <w:rPr>
                <w:rFonts w:hint="eastAsia" w:ascii="宋体" w:hAnsi="宋体" w:cs="宋体"/>
                <w:color w:val="000000"/>
                <w:kern w:val="0"/>
                <w:sz w:val="18"/>
                <w:szCs w:val="18"/>
              </w:rPr>
              <w:t>偿还历史欠账的服务满意度</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0" w:type="auto"/>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rPr>
          <w:rFonts w:ascii="仿宋" w:hAnsi="仿宋" w:eastAsia="仿宋"/>
        </w:rPr>
      </w:pPr>
    </w:p>
    <w:p>
      <w:pPr>
        <w:numPr>
          <w:ilvl w:val="0"/>
          <w:numId w:val="4"/>
        </w:numPr>
        <w:rPr>
          <w:rFonts w:ascii="仿宋" w:hAnsi="仿宋" w:eastAsia="仿宋"/>
          <w:b/>
          <w:bCs/>
        </w:rPr>
      </w:pPr>
      <w:r>
        <w:rPr>
          <w:rFonts w:hint="eastAsia" w:ascii="仿宋" w:hAnsi="仿宋" w:eastAsia="仿宋"/>
          <w:b/>
          <w:bCs/>
        </w:rPr>
        <w:t>河道管理科</w:t>
      </w:r>
    </w:p>
    <w:p>
      <w:pPr>
        <w:ind w:firstLine="640" w:firstLineChars="200"/>
        <w:rPr>
          <w:rFonts w:ascii="仿宋" w:hAnsi="仿宋" w:eastAsia="仿宋"/>
        </w:rPr>
      </w:pPr>
      <w:r>
        <w:rPr>
          <w:rFonts w:hint="eastAsia" w:ascii="仿宋" w:hAnsi="仿宋" w:eastAsia="仿宋"/>
        </w:rPr>
        <w:t>一、绩效目标</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1、依据承市汛办传{2021]4号文，关于统计防汛物资及防汛抢险队伍情况的通知和承市汛办传{2021]5号文，转发省防办《转发防汛抗旱总指挥办公室关于做好防汛砂石备料的通知》。防汛物资储备10万元，购置防汛物资以确保防汛工作万无一失，排除安全隐患，把涝灾损失降到最低。</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2、依据承高党政办字《2019》46号文，关于印发《承德高新区河湖生态管护机制建设工作方案》的通知。河长制工作195.97万元，用于河长制平台运行管理、河道清洁、公示牌更换、资料印刷、宣传培训及办公等费用。</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依据承高管复（2019）8号文，承德高新技术产业开发区管理委员会关于对承德高新区白河干流黄旗湾引水钢板坝工程实施方案的批复。白河干流黄旗湾引水钢板坝工程50.26万元，用于新建引水钢板坝基本沿垂直河岸方向布置，坝体净宽49.5m，底板宽为4.0m。</w:t>
      </w:r>
    </w:p>
    <w:p>
      <w:pPr>
        <w:ind w:firstLine="640" w:firstLineChars="200"/>
        <w:rPr>
          <w:rFonts w:hint="eastAsia" w:ascii="仿宋" w:hAnsi="仿宋" w:eastAsia="仿宋"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仿宋" w:hAnsi="仿宋" w:eastAsia="仿宋" w:cs="仿宋"/>
          <w:color w:val="auto"/>
          <w:sz w:val="32"/>
          <w:szCs w:val="32"/>
          <w:highlight w:val="none"/>
          <w:lang w:val="en-US" w:eastAsia="zh-CN"/>
        </w:rPr>
        <w:t>依据承河湖办字{2021}16号文件，加快推进河湖智能监控系统的项目建设。安排承德市铁塔公司进行建设任务，完成对高新区白河信息全覆盖的投入使用，一年费用21.6万元。</w:t>
      </w:r>
    </w:p>
    <w:p>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依据承市汛办{2021}13号，关于印发《承德市2021年度山洪灾害防御专项工作方案》的通知。承水防{2021}22号，关于落实水利部山洪灾害防御会议精神进一步做好山洪灾害防御工作的通知和承水防{2021}30号，关于转发省水利厅《关于转发&lt;山洪灾害防御防范规范化工作清单&gt;的通知》的通知和市防指进一步健全全市防汛抗旱工作机制的实施意见，山洪灾害及防汛宣传2万元，用于完善山洪灾害防御体制机制，建立部门协调配合，乡镇组织转移，村组群侧群防的防御体制。</w:t>
      </w:r>
    </w:p>
    <w:p>
      <w:pPr>
        <w:ind w:firstLine="640" w:firstLineChars="20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6、依据承市汛办传{{2021}1号文，关于做好防汛救灾应急演练工作的通知要求。防汛演练及防汛组织费2万元。以提高突发洪涝灾害防范应对能力、提升应急救援快速能力、应急处置能力、协调作战能力。</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7、依据冀水防{2021}20号文，做好2021年汛期通信保障的通知要求。防汛视频网络专线、应急通知短信服务、预警广播通讯费6.5万元，用于：预警广播设备要及时开机，及时发出灾害预警、及时发布预警信息、确保汛期能够正常使用。</w:t>
      </w:r>
    </w:p>
    <w:p>
      <w:pPr>
        <w:ind w:firstLine="640" w:firstLineChars="200"/>
        <w:rPr>
          <w:rFonts w:hint="eastAsia" w:ascii="仿宋" w:hAnsi="仿宋" w:eastAsia="仿宋" w:cs="仿宋"/>
          <w:color w:val="auto"/>
          <w:sz w:val="32"/>
          <w:szCs w:val="32"/>
          <w:highlight w:val="none"/>
          <w:lang w:val="en-US" w:eastAsia="zh-CN"/>
        </w:rPr>
      </w:pPr>
      <w:r>
        <w:rPr>
          <w:rFonts w:hint="eastAsia" w:cs="仿宋"/>
          <w:color w:val="auto"/>
          <w:sz w:val="32"/>
          <w:szCs w:val="32"/>
          <w:highlight w:val="none"/>
          <w:lang w:val="en-US" w:eastAsia="zh-CN"/>
        </w:rPr>
        <w:t>8、</w:t>
      </w:r>
      <w:r>
        <w:rPr>
          <w:rFonts w:hint="eastAsia" w:ascii="仿宋" w:hAnsi="仿宋" w:eastAsia="仿宋" w:cs="仿宋"/>
          <w:color w:val="auto"/>
          <w:sz w:val="32"/>
          <w:szCs w:val="32"/>
          <w:highlight w:val="none"/>
          <w:lang w:val="en-US" w:eastAsia="zh-CN"/>
        </w:rPr>
        <w:t>根据冀财农{2020}135号，《关于提前下达2021年中央水利发展资金预算的通知》及高新区2020年度山洪灾害防汛项目合同文件和高新区2021年度山洪灾害防治项目施工管理工作报告。山洪灾害非工程措施项目运行维护管理费14.6万元，用于进一步健全山洪灾害防治体系和监测预警能力，努力补齐山洪灾害防治当前存的明显短板，最大程度减少人员伤亡和财产损失，有效避免群死群伤。</w:t>
      </w:r>
    </w:p>
    <w:p>
      <w:pPr>
        <w:ind w:firstLine="640" w:firstLineChars="20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9、依据承防指{2021}1号文，关于切实做好2021年防汛抗旱工作的通知、承市汛办传{2021]5号文，转发省防办《转发防汛抗旱总指挥办公室关于做好防汛砂石备料的通知》和承市汛办[{2021}9号文，印发《2021年防汛抗旱要点》的通知要求。抗旱费用30万元，用于储备抗旱设备及解决应急水源工程，确保遇严重干旱城乡居民用水安全，最大程度减轻干旱灾害损失。</w:t>
      </w:r>
    </w:p>
    <w:p>
      <w:pPr>
        <w:ind w:firstLine="640" w:firstLineChars="200"/>
        <w:rPr>
          <w:rFonts w:hint="eastAsia" w:ascii="仿宋" w:hAnsi="仿宋" w:eastAsia="仿宋" w:cs="仿宋"/>
          <w:color w:val="auto"/>
          <w:sz w:val="32"/>
          <w:szCs w:val="32"/>
          <w:highlight w:val="none"/>
          <w:lang w:val="en-US" w:eastAsia="zh-CN"/>
        </w:rPr>
      </w:pPr>
    </w:p>
    <w:p>
      <w:pPr>
        <w:ind w:firstLine="640" w:firstLineChars="200"/>
        <w:rPr>
          <w:rFonts w:hint="default" w:ascii="仿宋" w:hAnsi="仿宋" w:eastAsia="仿宋" w:cs="仿宋"/>
          <w:color w:val="0000FF"/>
          <w:sz w:val="32"/>
          <w:szCs w:val="32"/>
          <w:highlight w:val="none"/>
          <w:lang w:val="en-US" w:eastAsia="zh-CN"/>
        </w:rPr>
      </w:pPr>
    </w:p>
    <w:p>
      <w:pPr>
        <w:rPr>
          <w:rFonts w:ascii="仿宋" w:hAnsi="仿宋" w:eastAsia="仿宋"/>
        </w:rPr>
      </w:pPr>
      <w:r>
        <w:rPr>
          <w:rFonts w:hint="eastAsia" w:ascii="仿宋" w:hAnsi="仿宋" w:eastAsia="仿宋"/>
        </w:rPr>
        <w:t>二、绩效指标</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0"/>
        <w:gridCol w:w="1615"/>
        <w:gridCol w:w="1601"/>
        <w:gridCol w:w="1603"/>
        <w:gridCol w:w="16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restart"/>
            <w:vAlign w:val="center"/>
          </w:tcPr>
          <w:p>
            <w:pPr>
              <w:jc w:val="center"/>
              <w:rPr>
                <w:rFonts w:ascii="仿宋" w:hAnsi="仿宋" w:eastAsia="仿宋"/>
                <w:b/>
                <w:bCs/>
                <w:sz w:val="24"/>
                <w:szCs w:val="24"/>
              </w:rPr>
            </w:pPr>
            <w:r>
              <w:rPr>
                <w:rFonts w:hint="eastAsia" w:ascii="仿宋" w:hAnsi="仿宋" w:eastAsia="仿宋"/>
                <w:b/>
                <w:bCs/>
                <w:sz w:val="24"/>
                <w:szCs w:val="24"/>
              </w:rPr>
              <w:t>绩效指标</w:t>
            </w:r>
          </w:p>
        </w:tc>
        <w:tc>
          <w:tcPr>
            <w:tcW w:w="6422" w:type="dxa"/>
            <w:gridSpan w:val="4"/>
            <w:vAlign w:val="center"/>
          </w:tcPr>
          <w:p>
            <w:pPr>
              <w:jc w:val="center"/>
              <w:rPr>
                <w:rFonts w:ascii="仿宋" w:hAnsi="仿宋" w:eastAsia="仿宋"/>
                <w:b/>
                <w:bCs/>
                <w:sz w:val="24"/>
                <w:szCs w:val="24"/>
              </w:rPr>
            </w:pPr>
            <w:r>
              <w:rPr>
                <w:rFonts w:hint="eastAsia" w:ascii="仿宋" w:hAnsi="仿宋" w:eastAsia="仿宋"/>
                <w:b/>
                <w:bCs/>
                <w:sz w:val="24"/>
                <w:szCs w:val="24"/>
              </w:rPr>
              <w:t>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Merge w:val="continue"/>
            <w:vAlign w:val="center"/>
          </w:tcPr>
          <w:p>
            <w:pPr>
              <w:jc w:val="center"/>
              <w:rPr>
                <w:rFonts w:ascii="仿宋" w:hAnsi="仿宋" w:eastAsia="仿宋"/>
                <w:b/>
                <w:bCs/>
                <w:sz w:val="24"/>
                <w:szCs w:val="24"/>
              </w:rPr>
            </w:pPr>
          </w:p>
        </w:tc>
        <w:tc>
          <w:tcPr>
            <w:tcW w:w="1615" w:type="dxa"/>
            <w:vAlign w:val="center"/>
          </w:tcPr>
          <w:p>
            <w:pPr>
              <w:jc w:val="center"/>
              <w:rPr>
                <w:rFonts w:ascii="仿宋" w:hAnsi="仿宋" w:eastAsia="仿宋"/>
                <w:b/>
                <w:bCs/>
                <w:sz w:val="24"/>
                <w:szCs w:val="24"/>
              </w:rPr>
            </w:pPr>
            <w:r>
              <w:rPr>
                <w:rFonts w:hint="eastAsia" w:ascii="仿宋" w:hAnsi="仿宋" w:eastAsia="仿宋"/>
                <w:b/>
                <w:bCs/>
                <w:sz w:val="24"/>
                <w:szCs w:val="24"/>
              </w:rPr>
              <w:t>优</w:t>
            </w:r>
          </w:p>
        </w:tc>
        <w:tc>
          <w:tcPr>
            <w:tcW w:w="1601" w:type="dxa"/>
            <w:vAlign w:val="center"/>
          </w:tcPr>
          <w:p>
            <w:pPr>
              <w:jc w:val="center"/>
              <w:rPr>
                <w:rFonts w:ascii="仿宋" w:hAnsi="仿宋" w:eastAsia="仿宋"/>
                <w:b/>
                <w:bCs/>
                <w:sz w:val="24"/>
                <w:szCs w:val="24"/>
              </w:rPr>
            </w:pPr>
            <w:r>
              <w:rPr>
                <w:rFonts w:hint="eastAsia" w:ascii="仿宋" w:hAnsi="仿宋" w:eastAsia="仿宋"/>
                <w:b/>
                <w:bCs/>
                <w:sz w:val="24"/>
                <w:szCs w:val="24"/>
              </w:rPr>
              <w:t>良</w:t>
            </w:r>
          </w:p>
        </w:tc>
        <w:tc>
          <w:tcPr>
            <w:tcW w:w="1603" w:type="dxa"/>
            <w:vAlign w:val="center"/>
          </w:tcPr>
          <w:p>
            <w:pPr>
              <w:jc w:val="center"/>
              <w:rPr>
                <w:rFonts w:ascii="仿宋" w:hAnsi="仿宋" w:eastAsia="仿宋"/>
                <w:b/>
                <w:bCs/>
                <w:sz w:val="24"/>
                <w:szCs w:val="24"/>
              </w:rPr>
            </w:pPr>
            <w:r>
              <w:rPr>
                <w:rFonts w:hint="eastAsia" w:ascii="仿宋" w:hAnsi="仿宋" w:eastAsia="仿宋"/>
                <w:b/>
                <w:bCs/>
                <w:sz w:val="24"/>
                <w:szCs w:val="24"/>
              </w:rPr>
              <w:t>中</w:t>
            </w:r>
          </w:p>
        </w:tc>
        <w:tc>
          <w:tcPr>
            <w:tcW w:w="1603" w:type="dxa"/>
            <w:vAlign w:val="center"/>
          </w:tcPr>
          <w:p>
            <w:pPr>
              <w:jc w:val="center"/>
              <w:rPr>
                <w:rFonts w:ascii="仿宋" w:hAnsi="仿宋" w:eastAsia="仿宋"/>
                <w:b/>
                <w:bCs/>
                <w:sz w:val="24"/>
                <w:szCs w:val="24"/>
              </w:rPr>
            </w:pPr>
            <w:r>
              <w:rPr>
                <w:rFonts w:hint="eastAsia" w:ascii="仿宋" w:hAnsi="仿宋" w:eastAsia="仿宋"/>
                <w:b/>
                <w:bCs/>
                <w:sz w:val="24"/>
                <w:szCs w:val="24"/>
              </w:rPr>
              <w:t>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100" w:type="dxa"/>
            <w:vAlign w:val="center"/>
          </w:tcPr>
          <w:p>
            <w:pPr>
              <w:spacing w:line="300" w:lineRule="exact"/>
              <w:rPr>
                <w:rFonts w:ascii="仿宋" w:hAnsi="仿宋" w:eastAsia="仿宋"/>
                <w:sz w:val="24"/>
                <w:szCs w:val="24"/>
              </w:rPr>
            </w:pPr>
            <w:r>
              <w:rPr>
                <w:rFonts w:hint="eastAsia" w:ascii="仿宋" w:hAnsi="仿宋" w:eastAsia="仿宋"/>
                <w:sz w:val="24"/>
                <w:szCs w:val="24"/>
              </w:rPr>
              <w:t>河长制工作完成及时率</w:t>
            </w:r>
          </w:p>
        </w:tc>
        <w:tc>
          <w:tcPr>
            <w:tcW w:w="1615"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601"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pPr>
              <w:spacing w:line="300" w:lineRule="exact"/>
              <w:rPr>
                <w:rFonts w:ascii="仿宋" w:hAnsi="仿宋" w:eastAsia="仿宋"/>
                <w:sz w:val="24"/>
                <w:szCs w:val="24"/>
              </w:rPr>
            </w:pPr>
            <w:r>
              <w:rPr>
                <w:rFonts w:hint="eastAsia" w:ascii="仿宋" w:hAnsi="仿宋" w:eastAsia="仿宋"/>
                <w:sz w:val="24"/>
                <w:szCs w:val="24"/>
              </w:rPr>
              <w:t>完成河湖清四乱工作</w:t>
            </w:r>
          </w:p>
        </w:tc>
        <w:tc>
          <w:tcPr>
            <w:tcW w:w="1615"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601"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00" w:type="dxa"/>
            <w:vAlign w:val="center"/>
          </w:tcPr>
          <w:p>
            <w:pPr>
              <w:spacing w:line="300" w:lineRule="exact"/>
              <w:rPr>
                <w:rFonts w:ascii="仿宋" w:hAnsi="仿宋" w:eastAsia="仿宋"/>
                <w:sz w:val="24"/>
                <w:szCs w:val="24"/>
              </w:rPr>
            </w:pPr>
            <w:r>
              <w:rPr>
                <w:rFonts w:hint="eastAsia" w:ascii="仿宋" w:hAnsi="仿宋" w:eastAsia="仿宋"/>
                <w:color w:val="000000"/>
                <w:kern w:val="0"/>
                <w:sz w:val="24"/>
                <w:szCs w:val="24"/>
              </w:rPr>
              <w:t>防汛物资购置完成率</w:t>
            </w:r>
          </w:p>
        </w:tc>
        <w:tc>
          <w:tcPr>
            <w:tcW w:w="1615" w:type="dxa"/>
            <w:vAlign w:val="center"/>
          </w:tcPr>
          <w:p>
            <w:pPr>
              <w:spacing w:line="300" w:lineRule="exact"/>
              <w:jc w:val="center"/>
              <w:rPr>
                <w:rFonts w:ascii="仿宋" w:hAnsi="仿宋" w:eastAsia="仿宋"/>
                <w:sz w:val="24"/>
                <w:szCs w:val="24"/>
              </w:rPr>
            </w:pPr>
            <w:r>
              <w:rPr>
                <w:rFonts w:ascii="仿宋" w:hAnsi="仿宋" w:eastAsia="仿宋"/>
                <w:sz w:val="24"/>
                <w:szCs w:val="24"/>
              </w:rPr>
              <w:t>100%</w:t>
            </w:r>
          </w:p>
        </w:tc>
        <w:tc>
          <w:tcPr>
            <w:tcW w:w="1601" w:type="dxa"/>
            <w:vAlign w:val="center"/>
          </w:tcPr>
          <w:p>
            <w:pPr>
              <w:spacing w:line="300" w:lineRule="exact"/>
              <w:jc w:val="center"/>
              <w:rPr>
                <w:rFonts w:ascii="仿宋" w:hAnsi="仿宋" w:eastAsia="仿宋"/>
                <w:sz w:val="24"/>
                <w:szCs w:val="24"/>
              </w:rPr>
            </w:pPr>
            <w:r>
              <w:rPr>
                <w:rFonts w:ascii="仿宋" w:hAnsi="仿宋" w:eastAsia="仿宋"/>
                <w:sz w:val="24"/>
                <w:szCs w:val="24"/>
              </w:rPr>
              <w:t>90%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80%</w:t>
            </w:r>
          </w:p>
        </w:tc>
        <w:tc>
          <w:tcPr>
            <w:tcW w:w="1603" w:type="dxa"/>
            <w:vAlign w:val="center"/>
          </w:tcPr>
          <w:p>
            <w:pPr>
              <w:spacing w:line="300" w:lineRule="exact"/>
              <w:jc w:val="center"/>
              <w:rPr>
                <w:rFonts w:ascii="仿宋" w:hAnsi="仿宋" w:eastAsia="仿宋"/>
                <w:sz w:val="24"/>
                <w:szCs w:val="24"/>
              </w:rPr>
            </w:pPr>
            <w:r>
              <w:rPr>
                <w:rFonts w:ascii="仿宋" w:hAnsi="仿宋" w:eastAsia="仿宋"/>
                <w:sz w:val="24"/>
                <w:szCs w:val="24"/>
              </w:rPr>
              <w:t>60%</w:t>
            </w:r>
            <w:r>
              <w:rPr>
                <w:rFonts w:hint="eastAsia" w:ascii="仿宋" w:hAnsi="仿宋" w:eastAsia="仿宋"/>
                <w:sz w:val="24"/>
                <w:szCs w:val="24"/>
              </w:rPr>
              <w:t>以下</w:t>
            </w:r>
          </w:p>
        </w:tc>
      </w:tr>
    </w:tbl>
    <w:p>
      <w:pPr>
        <w:pBdr>
          <w:bottom w:val="single" w:color="FFFFFF" w:sz="8" w:space="31"/>
        </w:pBdr>
        <w:autoSpaceDN w:val="0"/>
        <w:spacing w:line="360" w:lineRule="auto"/>
        <w:rPr>
          <w:rFonts w:ascii="仿宋" w:hAnsi="仿宋" w:eastAsia="仿宋"/>
        </w:rPr>
      </w:pPr>
    </w:p>
    <w:p>
      <w:pPr>
        <w:pBdr>
          <w:bottom w:val="single" w:color="FFFFFF" w:sz="8" w:space="31"/>
        </w:pBdr>
        <w:autoSpaceDN w:val="0"/>
        <w:spacing w:line="360" w:lineRule="auto"/>
        <w:rPr>
          <w:rFonts w:ascii="??_GB2312" w:eastAsia="Times New Roman"/>
        </w:rPr>
      </w:pPr>
      <w:r>
        <w:rPr>
          <w:rFonts w:hint="eastAsia" w:ascii="黑体" w:hAnsi="黑体" w:eastAsia="黑体" w:cs="黑体"/>
          <w:b/>
          <w:bCs/>
        </w:rPr>
        <w:t>三、工作保障措施</w:t>
      </w:r>
    </w:p>
    <w:p>
      <w:pPr>
        <w:pBdr>
          <w:bottom w:val="single" w:color="FFFFFF" w:sz="8" w:space="31"/>
        </w:pBdr>
        <w:autoSpaceDN w:val="0"/>
        <w:spacing w:line="360" w:lineRule="auto"/>
        <w:ind w:firstLine="640" w:firstLineChars="200"/>
        <w:rPr>
          <w:rFonts w:ascii="??_GB2312" w:eastAsia="Times New Roman"/>
        </w:rPr>
      </w:pPr>
      <w:r>
        <w:rPr>
          <w:rFonts w:ascii="??_GB2312" w:eastAsia="Times New Roman" w:cs="方正楷体_GBK"/>
          <w:b/>
        </w:rPr>
        <w:t>（一）成立组织、加强领导</w:t>
      </w:r>
      <w:r>
        <w:rPr>
          <w:rFonts w:ascii="??_GB2312" w:eastAsia="Times New Roman"/>
          <w:b/>
        </w:rPr>
        <w:t>。</w:t>
      </w:r>
      <w:r>
        <w:rPr>
          <w:rFonts w:ascii="??_GB2312" w:eastAsia="Times New Roman"/>
        </w:rPr>
        <w:t>为确保202</w:t>
      </w:r>
      <w:r>
        <w:rPr>
          <w:rFonts w:hint="eastAsia" w:ascii="??_GB2312" w:eastAsiaTheme="minorEastAsia"/>
        </w:rPr>
        <w:t>1</w:t>
      </w:r>
      <w:r>
        <w:rPr>
          <w:rFonts w:ascii="??_GB2312" w:eastAsia="Times New Roman"/>
        </w:rPr>
        <w:t>年林业、水务各项重点工作如期完成，成立由党组书记、局长任组长，班子其他成员任副组长，相关处室负责人为成员的深入推进林业水务工作领导小组，领导小组下设办公室，主要责任单位主要负责人要亲自负责，细化工作目标，制定工作计划，落实工作措施，确保年度重点工作有序推进。</w:t>
      </w:r>
    </w:p>
    <w:p>
      <w:pPr>
        <w:pBdr>
          <w:bottom w:val="single" w:color="FFFFFF" w:sz="8" w:space="31"/>
        </w:pBdr>
        <w:autoSpaceDN w:val="0"/>
        <w:spacing w:line="360" w:lineRule="auto"/>
        <w:ind w:firstLine="640" w:firstLineChars="200"/>
        <w:rPr>
          <w:rFonts w:ascii="??_GB2312" w:eastAsia="Times New Roman"/>
        </w:rPr>
      </w:pPr>
      <w:r>
        <w:rPr>
          <w:rFonts w:ascii="??_GB2312" w:hAnsi="楷体" w:eastAsia="Times New Roman" w:cs="楷体"/>
          <w:b/>
        </w:rPr>
        <w:t>（二）完善制度，加强支出管理。</w:t>
      </w:r>
      <w:r>
        <w:rPr>
          <w:rFonts w:ascii="??_GB2312" w:hAnsi="楷体" w:eastAsia="Times New Roman" w:cs="楷体"/>
          <w:bCs/>
        </w:rPr>
        <w:t>高新区林业水务局202</w:t>
      </w:r>
      <w:r>
        <w:rPr>
          <w:rFonts w:hint="eastAsia" w:ascii="??_GB2312" w:hAnsi="楷体" w:cs="楷体" w:eastAsiaTheme="minorEastAsia"/>
          <w:bCs/>
        </w:rPr>
        <w:t>1</w:t>
      </w:r>
      <w:r>
        <w:rPr>
          <w:rFonts w:ascii="??_GB2312" w:hAnsi="楷体" w:eastAsia="Times New Roman" w:cs="楷体"/>
          <w:bCs/>
        </w:rPr>
        <w:t>年不断制定完善预算绩效管理制度、资金管理办法、工作保障制度等相关制度，为全年预算绩效目标的实现奠定制度基础。并通过优化支出结构、编细编实预算、加快履行政府采购手续、尽快启动项目、及时支付资金、按规定及时下达资金等多种措施，确保支出进度达标</w:t>
      </w:r>
      <w:r>
        <w:rPr>
          <w:rFonts w:ascii="??_GB2312" w:eastAsia="Times New Roman"/>
        </w:rPr>
        <w:t>。</w:t>
      </w:r>
    </w:p>
    <w:p>
      <w:pPr>
        <w:pBdr>
          <w:bottom w:val="single" w:color="FFFFFF" w:sz="8" w:space="31"/>
        </w:pBdr>
        <w:autoSpaceDN w:val="0"/>
        <w:spacing w:line="360" w:lineRule="auto"/>
        <w:ind w:firstLine="640" w:firstLineChars="200"/>
        <w:rPr>
          <w:rFonts w:ascii="??_GB2312" w:hAnsi="微软雅黑" w:eastAsia="Times New Roman" w:cs="宋体"/>
        </w:rPr>
      </w:pPr>
      <w:r>
        <w:rPr>
          <w:rFonts w:ascii="??_GB2312" w:hAnsi="楷体" w:eastAsia="Times New Roman" w:cs="楷体"/>
          <w:b/>
        </w:rPr>
        <w:t>（三）加强绩效运行监控，做好绩效自评。</w:t>
      </w:r>
      <w:r>
        <w:rPr>
          <w:rFonts w:ascii="??_GB2312" w:eastAsia="Times New Roman" w:cs="宋体"/>
        </w:rPr>
        <w:t>林业水务局将按照要求及时开展绩效运行监控，发现问题及时采取措施，确保绩效目标如期保质实现。按照要求开展上年度部门预算自评和重点评价工作，对评价中发现的问题及时整改，调整优化支出结构，提高财政资金的使用效益。</w:t>
      </w:r>
    </w:p>
    <w:p>
      <w:pPr>
        <w:pBdr>
          <w:bottom w:val="single" w:color="FFFFFF" w:sz="8" w:space="31"/>
        </w:pBdr>
        <w:autoSpaceDN w:val="0"/>
        <w:spacing w:line="360" w:lineRule="auto"/>
        <w:ind w:firstLine="640" w:firstLineChars="200"/>
        <w:rPr>
          <w:rFonts w:ascii="??_GB2312" w:hAnsi="楷体" w:eastAsia="Times New Roman" w:cs="楷体"/>
          <w:bCs/>
        </w:rPr>
      </w:pPr>
      <w:r>
        <w:rPr>
          <w:rFonts w:ascii="??_GB2312" w:hAnsi="楷体" w:eastAsia="Times New Roman" w:cs="楷体"/>
          <w:b/>
        </w:rPr>
        <w:t>（四）规范财务资产管理，加强内部监督。</w:t>
      </w:r>
      <w:r>
        <w:rPr>
          <w:rFonts w:ascii="??_GB2312" w:hAnsi="楷体" w:eastAsia="Times New Roman" w:cs="楷体"/>
          <w:bCs/>
        </w:rPr>
        <w:t>林业水务局将不断完善财务管理制度，严格审批程序，加强固定资产登记、使用和报废处置管理，做到支出合理，物尽其用。林业水务局还将加强内部监督制度建设，对绩效运行情况、重大支出决策、对外投资、资产处置及其他重要经济业务事项的决策和执行进行督导，对会计资料进行内部审计，并配合做好审计、财政监督等外部监督工作，确保财政资产安全有效。</w:t>
      </w:r>
    </w:p>
    <w:p>
      <w:pPr>
        <w:pBdr>
          <w:bottom w:val="single" w:color="FFFFFF" w:sz="8" w:space="31"/>
        </w:pBdr>
        <w:autoSpaceDN w:val="0"/>
        <w:spacing w:line="360" w:lineRule="auto"/>
        <w:ind w:firstLine="640" w:firstLineChars="200"/>
        <w:rPr>
          <w:rFonts w:ascii="??_GB2312" w:eastAsia="Times New Roman"/>
        </w:rPr>
      </w:pPr>
      <w:r>
        <w:rPr>
          <w:rFonts w:ascii="??_GB2312" w:hAnsi="楷体" w:eastAsia="Times New Roman" w:cs="楷体"/>
          <w:b/>
        </w:rPr>
        <w:t>（五）加强人员培训，加强宣传。</w:t>
      </w:r>
      <w:r>
        <w:rPr>
          <w:rFonts w:ascii="??_GB2312" w:eastAsia="Times New Roman"/>
        </w:rPr>
        <w:t>加强人员培训，不断提高本部门职工业务素质；不断加宣传力度，强化预算绩效管理意识，促进预算绩效管理水平进一步提升。</w:t>
      </w:r>
    </w:p>
    <w:p>
      <w:pPr>
        <w:rPr>
          <w:rFonts w:ascii="??_GB2312" w:eastAsia="Times New Roman"/>
        </w:rPr>
      </w:pPr>
    </w:p>
    <w:p>
      <w:pPr>
        <w:pBdr>
          <w:bottom w:val="single" w:color="FFFFFF" w:sz="8" w:space="31"/>
        </w:pBdr>
        <w:autoSpaceDN w:val="0"/>
        <w:spacing w:line="360" w:lineRule="auto"/>
        <w:ind w:firstLine="640" w:firstLineChars="200"/>
        <w:rPr>
          <w:rFonts w:ascii="??_GB2312" w:eastAsia="Times New Roman"/>
        </w:r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hint="eastAsia" w:ascii="黑体" w:hAnsi="黑体" w:eastAsia="黑体" w:cs="黑体"/>
          <w:b/>
          <w:bCs/>
          <w:sz w:val="44"/>
          <w:szCs w:val="44"/>
        </w:rPr>
      </w:pP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第二部分</w:t>
      </w:r>
    </w:p>
    <w:p>
      <w:pPr>
        <w:spacing w:line="720" w:lineRule="auto"/>
        <w:jc w:val="center"/>
        <w:rPr>
          <w:rFonts w:ascii="黑体" w:hAnsi="黑体" w:eastAsia="黑体" w:cs="黑体"/>
          <w:b/>
          <w:bCs/>
          <w:sz w:val="44"/>
          <w:szCs w:val="44"/>
        </w:rPr>
      </w:pPr>
      <w:r>
        <w:rPr>
          <w:rFonts w:hint="eastAsia" w:ascii="黑体" w:hAnsi="黑体" w:eastAsia="黑体" w:cs="黑体"/>
          <w:b/>
          <w:bCs/>
          <w:sz w:val="44"/>
          <w:szCs w:val="44"/>
        </w:rPr>
        <w:t>专项资金绩效目标</w:t>
      </w:r>
    </w:p>
    <w:p>
      <w:pPr>
        <w:pBdr>
          <w:bottom w:val="single" w:color="FFFFFF" w:sz="8" w:space="31"/>
        </w:pBdr>
        <w:autoSpaceDN w:val="0"/>
        <w:spacing w:line="360" w:lineRule="auto"/>
        <w:rPr>
          <w:rFonts w:ascii="黑体" w:hAnsi="黑体" w:eastAsia="黑体" w:cs="黑体"/>
          <w:b/>
          <w:bCs/>
        </w:rPr>
      </w:pPr>
    </w:p>
    <w:p>
      <w:pPr>
        <w:rPr>
          <w:rFonts w:ascii="仿宋" w:hAnsi="仿宋" w:eastAsia="仿宋"/>
        </w:rPr>
        <w:sectPr>
          <w:headerReference r:id="rId3" w:type="default"/>
          <w:pgSz w:w="11906" w:h="16838"/>
          <w:pgMar w:top="1440" w:right="1800" w:bottom="1440" w:left="1800" w:header="851" w:footer="992" w:gutter="0"/>
          <w:cols w:space="425" w:num="1"/>
          <w:docGrid w:type="lines" w:linePitch="312" w:charSpace="0"/>
        </w:sectPr>
      </w:pPr>
    </w:p>
    <w:p>
      <w:pPr>
        <w:numPr>
          <w:ilvl w:val="0"/>
          <w:numId w:val="6"/>
        </w:numPr>
        <w:rPr>
          <w:rFonts w:ascii="仿宋" w:hAnsi="仿宋" w:eastAsia="仿宋"/>
          <w:b/>
          <w:bCs/>
        </w:rPr>
      </w:pPr>
      <w:r>
        <w:rPr>
          <w:rFonts w:hint="eastAsia" w:ascii="方正仿宋_GBK" w:eastAsia="方正仿宋_GBK"/>
          <w:b/>
          <w:sz w:val="28"/>
        </w:rPr>
        <w:t>白河干流黄旗湾引水钢板坝工程绩效目标表</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79"/>
        <w:gridCol w:w="1179"/>
        <w:gridCol w:w="1769"/>
        <w:gridCol w:w="2962"/>
        <w:gridCol w:w="941"/>
        <w:gridCol w:w="828"/>
        <w:gridCol w:w="1769"/>
        <w:gridCol w:w="1769"/>
        <w:gridCol w:w="17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9"/>
            <w:vMerge w:val="restart"/>
            <w:tcBorders>
              <w:top w:val="single" w:color="B0C4DE" w:sz="4" w:space="0"/>
              <w:left w:val="single" w:color="B0C4DE" w:sz="4" w:space="0"/>
              <w:bottom w:val="single" w:color="B0C4DE" w:sz="4" w:space="0"/>
              <w:right w:val="single" w:color="B0C4DE"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lang w:val="en-US" w:eastAsia="zh-CN" w:bidi="ar"/>
              </w:rPr>
              <w:t>白河干流黄旗湾引水钢板坝工程绩效目标表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9"/>
            <w:vMerge w:val="continue"/>
            <w:tcBorders>
              <w:top w:val="single" w:color="B0C4DE" w:sz="4" w:space="0"/>
              <w:left w:val="single" w:color="B0C4DE" w:sz="4" w:space="0"/>
              <w:bottom w:val="single" w:color="B0C4DE" w:sz="4" w:space="0"/>
              <w:right w:val="single" w:color="B0C4DE" w:sz="4" w:space="0"/>
            </w:tcBorders>
            <w:shd w:val="clear" w:color="auto" w:fill="auto"/>
            <w:vAlign w:val="center"/>
          </w:tcPr>
          <w:p>
            <w:pPr>
              <w:jc w:val="center"/>
              <w:rPr>
                <w:rFonts w:hint="eastAsia" w:ascii="宋体" w:hAnsi="宋体" w:eastAsia="宋体" w:cs="宋体"/>
                <w:i w:val="0"/>
                <w:iCs w:val="0"/>
                <w:color w:val="000000"/>
                <w:sz w:val="40"/>
                <w:szCs w:val="4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166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13081122P005LR110002J</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21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白河干流黄旗湾引水钢板坝工程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1668" w:type="pct"/>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21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250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2498"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4583"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4167" w:type="pct"/>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高新区白河干流黄旗湾引水钢板坝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124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624"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625"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624"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625"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高新区白河干流黄旗湾引水钢板坝工程</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预计完成高新区白河干流黄旗湾引水钢板坝工程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依据工程验收报告</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完成高新区白河干流黄旗湾引水钢板坝工程为优，反之扣分项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工程质量</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工程质量合格</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依据工程验收报告</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工程质量合格为优，反之为扣分项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工程完成情况</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按时完成工程</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依据承德高新区白河干流黄旗湾引水钢板坝工程实施方案的批复</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按时完成工程为优，反之为扣分项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50.26</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高薪区白河干流黄旗湾引水钢板坝工程实施方案批复，除不可预测的外来因素，把成本控制在50.26万元内.</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促进经济发展</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开展白河干流黄旗湾饮水工程，带动村庄的经济发展</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调节当地气候和促进村庄经济发展</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通过高薪区白河干流黄旗湾引水钢板坝工程实施方案的实施，调节带动村庄的经济发展</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带动村庄经济发展为优，反之为扣分项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直接、间接总受益人数</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直接、间接总受益人数</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412</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户</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高薪区白河干流黄旗湾引水钢板坝工程，直接、间接受益村412户</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直接、间接受益户数达到400户为优，低于400户为扣分项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改善水质环境</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通过工程的开展，使当地水环境得到明显改善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增加地区的生物多样性和生态系统的稳定性</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高薪区白河干流黄旗湾引水钢板坝工程，使水环境得到改善，增加了地区的生物多样性</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水环境得到明显改善为优，反之为扣分项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环境保护</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促进生态环境得到改善</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生态环境得到改善</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高薪区白河干流黄旗湾引水钢板坝工程，促进生态环境得到改善</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416"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服务满意度百分比</w:t>
            </w:r>
          </w:p>
        </w:tc>
        <w:tc>
          <w:tcPr>
            <w:tcW w:w="33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92"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24"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高薪区白河干流黄旗湾引水钢板坝工程实施，水环境得到改善，当地群众满意度85%以上</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群众满意度达到85%以上为优，低于80%为扣分项</w:t>
            </w:r>
          </w:p>
        </w:tc>
      </w:tr>
    </w:tbl>
    <w:p>
      <w:pPr>
        <w:pStyle w:val="2"/>
      </w:pPr>
    </w:p>
    <w:p>
      <w:pPr>
        <w:numPr>
          <w:ilvl w:val="0"/>
          <w:numId w:val="0"/>
        </w:numPr>
        <w:rPr>
          <w:rFonts w:hint="eastAsia" w:ascii="方正仿宋_GBK" w:eastAsia="方正仿宋_GBK"/>
          <w:b/>
          <w:sz w:val="28"/>
        </w:rPr>
      </w:pPr>
      <w:r>
        <w:rPr>
          <w:rFonts w:hint="eastAsia" w:ascii="方正仿宋_GBK" w:eastAsia="方正仿宋_GBK"/>
          <w:b/>
          <w:sz w:val="28"/>
          <w:lang w:val="en-US" w:eastAsia="zh-CN"/>
        </w:rPr>
        <w:t>2、滨河湿地公园管理费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6"/>
        <w:gridCol w:w="1094"/>
        <w:gridCol w:w="1622"/>
        <w:gridCol w:w="2528"/>
        <w:gridCol w:w="685"/>
        <w:gridCol w:w="551"/>
        <w:gridCol w:w="1973"/>
        <w:gridCol w:w="2383"/>
        <w:gridCol w:w="24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vMerge w:val="restart"/>
            <w:tcBorders>
              <w:top w:val="single" w:color="B0C4DE" w:sz="4" w:space="0"/>
              <w:left w:val="single" w:color="B0C4DE" w:sz="4" w:space="0"/>
              <w:bottom w:val="single" w:color="B0C4DE" w:sz="4" w:space="0"/>
              <w:right w:val="single" w:color="B0C4DE"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滨河湿地公园管理费绩效目标表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vMerge w:val="continue"/>
            <w:tcBorders>
              <w:top w:val="single" w:color="B0C4DE" w:sz="4" w:space="0"/>
              <w:left w:val="single" w:color="B0C4DE" w:sz="4" w:space="0"/>
              <w:bottom w:val="single" w:color="B0C4DE" w:sz="4" w:space="0"/>
              <w:right w:val="single" w:color="B0C4DE"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13081122P008151100013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滨河湿地公园管理费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完成滨河湿地公园管护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完成滨河湿地公园管护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合理管护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合理养护为优，反之为扣分项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实施有效保护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按技术标准，保护景观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按技术标准和要求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不破坏占用，完成维护为优，反之为扣分项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维护工程竣工情况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维护工程竣工及时率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工程按要求及时竣工为优，反之为扣分项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维护资金支付率达到100%支付为优，反之为扣分项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生态优先、绿色发展、科学利用、高效管理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保障生态系统、提高经济效益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观赏及休闲价值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生态优先、绿色发展、科学利用、高效管理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保障生态系统和景观，发挥示范辐射作用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提升绿化美化景观效果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生态优先、绿色发展、科学利用、高效管理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保障生态系统和景观的完整性及效益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持续发展作用力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持续发展作用力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滨河湿地公园管理预交协议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社区居民满意度比例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根据制定的工作计划，使居民的满意度达到95%以上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居民的满意度达到95%以为优，低于90%为扣分项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r>
    </w:tbl>
    <w:p>
      <w:pPr>
        <w:rPr>
          <w:rFonts w:ascii="仿宋" w:hAnsi="仿宋" w:eastAsia="仿宋"/>
          <w:b/>
          <w:bCs/>
        </w:rPr>
      </w:pPr>
    </w:p>
    <w:p>
      <w:pPr>
        <w:rPr>
          <w:rFonts w:ascii="仿宋" w:hAnsi="仿宋" w:eastAsia="仿宋"/>
          <w:b/>
          <w:bCs/>
        </w:rPr>
      </w:pPr>
      <w:r>
        <w:rPr>
          <w:rFonts w:ascii="仿宋" w:hAnsi="仿宋" w:eastAsia="仿宋"/>
          <w:b/>
          <w:bCs/>
        </w:rPr>
        <w:t>3.</w:t>
      </w:r>
      <w:r>
        <w:rPr>
          <w:rFonts w:hint="eastAsia" w:ascii="方正仿宋_GBK" w:eastAsia="方正仿宋_GBK"/>
          <w:b/>
          <w:sz w:val="28"/>
        </w:rPr>
        <w:t xml:space="preserve"> </w:t>
      </w:r>
      <w:r>
        <w:rPr>
          <w:rFonts w:hint="eastAsia" w:ascii="方正仿宋_GBK" w:eastAsia="方正仿宋_GBK"/>
          <w:b/>
          <w:sz w:val="28"/>
          <w:lang w:val="en-US" w:eastAsia="zh-CN"/>
        </w:rPr>
        <w:t>滨河湿地公园基础设施维修</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49"/>
        <w:gridCol w:w="1062"/>
        <w:gridCol w:w="1891"/>
        <w:gridCol w:w="2431"/>
        <w:gridCol w:w="673"/>
        <w:gridCol w:w="551"/>
        <w:gridCol w:w="1908"/>
        <w:gridCol w:w="1984"/>
        <w:gridCol w:w="28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滨河湿地公园基础设施维修绩效目标表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13081122P00815010001D</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滨河湿地公园基础设施维修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基础设施维修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基础设施维修数量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完成1处基础设施维修为优，反之为扣分项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实施有效保护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按技术标准，保护景观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按技术标准执行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不破坏占用，完成维护为优，反之为扣分项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维护工程竣工及时率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维护工程竣工情况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工程按要求及时竣工为优，反之为扣分项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维护资金支付率达到100%支付为优，反之为扣分项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保障基础设施完善和人身安全、减少损失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观赏及休闲价值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生态优先、绿色发展、科学利用、高效管理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保障基础设施和景观，发挥示范辐射作用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生态环境破坏率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生态环境破坏率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生态环境破坏率</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低于85%为优，反之为扣分项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提升基础设施健全和景观效果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提升绿化美化景观效果，提高舒适性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周边绿化美化建设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滨河湿地公园基础设施需维护情况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提升绿化美化景观效果，带动周边绿化美化为优，反之为扣分项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社区居民满意度比例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根据调查问卷，居民的满意度达到95%以上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居民的满意度达到95%以为优，低于90%为扣分项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0" w:type="auto"/>
            <w:tcBorders>
              <w:top w:val="nil"/>
              <w:left w:val="nil"/>
              <w:bottom w:val="nil"/>
              <w:right w:val="nil"/>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r>
    </w:tbl>
    <w:p>
      <w:pPr>
        <w:rPr>
          <w:rFonts w:hint="eastAsia" w:ascii="仿宋" w:hAnsi="仿宋" w:eastAsia="仿宋"/>
        </w:rPr>
      </w:pPr>
    </w:p>
    <w:p>
      <w:pPr>
        <w:jc w:val="left"/>
        <w:outlineLvl w:val="3"/>
        <w:rPr>
          <w:rFonts w:ascii="Times New Roman" w:hAnsi="宋体"/>
          <w:b/>
          <w:color w:val="000000" w:themeColor="text1"/>
          <w:sz w:val="28"/>
          <w14:textFill>
            <w14:solidFill>
              <w14:schemeClr w14:val="tx1"/>
            </w14:solidFill>
          </w14:textFill>
        </w:rPr>
      </w:pPr>
      <w:r>
        <w:rPr>
          <w:rFonts w:ascii="仿宋" w:hAnsi="仿宋" w:eastAsia="仿宋"/>
          <w:b/>
          <w:bCs/>
          <w:color w:val="000000" w:themeColor="text1"/>
          <w14:textFill>
            <w14:solidFill>
              <w14:schemeClr w14:val="tx1"/>
            </w14:solidFill>
          </w14:textFill>
        </w:rPr>
        <w:t>4</w:t>
      </w:r>
      <w:r>
        <w:rPr>
          <w:rFonts w:hint="eastAsia" w:ascii="方正仿宋_GBK" w:eastAsia="方正仿宋_GBK"/>
          <w:b/>
          <w:color w:val="000000" w:themeColor="text1"/>
          <w:sz w:val="28"/>
          <w14:textFill>
            <w14:solidFill>
              <w14:schemeClr w14:val="tx1"/>
            </w14:solidFill>
          </w14:textFill>
        </w:rPr>
        <w:t>.</w:t>
      </w:r>
      <w:r>
        <w:rPr>
          <w:rFonts w:hint="eastAsia" w:ascii="方正仿宋_GBK" w:eastAsia="方正仿宋_GBK"/>
          <w:b/>
          <w:color w:val="000000" w:themeColor="text1"/>
          <w:sz w:val="28"/>
          <w:lang w:val="en-US" w:eastAsia="zh-CN"/>
          <w14:textFill>
            <w14:solidFill>
              <w14:schemeClr w14:val="tx1"/>
            </w14:solidFill>
          </w14:textFill>
        </w:rPr>
        <w:t>防火专项</w:t>
      </w:r>
      <w:r>
        <w:rPr>
          <w:rFonts w:hint="eastAsia" w:ascii="方正仿宋_GBK" w:eastAsia="方正仿宋_GBK"/>
          <w:b/>
          <w:color w:val="000000" w:themeColor="text1"/>
          <w:sz w:val="28"/>
          <w14:textFill>
            <w14:solidFill>
              <w14:schemeClr w14:val="tx1"/>
            </w14:solidFill>
          </w14:textFill>
        </w:rPr>
        <w:t>绩效目标表</w:t>
      </w:r>
      <w:r>
        <w:rPr>
          <w:rFonts w:ascii="方正仿宋_GBK" w:eastAsia="方正仿宋_GBK"/>
          <w:b/>
          <w:color w:val="000000" w:themeColor="text1"/>
          <w:sz w:val="28"/>
          <w14:textFill>
            <w14:solidFill>
              <w14:schemeClr w14:val="tx1"/>
            </w14:solidFill>
          </w14:textFill>
        </w:rPr>
        <w:fldChar w:fldCharType="begin"/>
      </w:r>
      <w:r>
        <w:rPr>
          <w:rFonts w:ascii="方正仿宋_GBK" w:eastAsia="方正仿宋_GBK"/>
          <w:b/>
          <w:color w:val="000000" w:themeColor="text1"/>
          <w:sz w:val="28"/>
          <w14:textFill>
            <w14:solidFill>
              <w14:schemeClr w14:val="tx1"/>
            </w14:solidFill>
          </w14:textFill>
        </w:rPr>
        <w:instrText xml:space="preserve"> </w:instrText>
      </w:r>
      <w:r>
        <w:rPr>
          <w:rFonts w:hint="eastAsia" w:ascii="方正仿宋_GBK" w:eastAsia="方正仿宋_GBK"/>
          <w:b/>
          <w:color w:val="000000" w:themeColor="text1"/>
          <w:sz w:val="28"/>
          <w14:textFill>
            <w14:solidFill>
              <w14:schemeClr w14:val="tx1"/>
            </w14:solidFill>
          </w14:textFill>
        </w:rPr>
        <w:instrText xml:space="preserve">TC 4、橡胶坝运行维护绩效目标表 \f C \l 1</w:instrText>
      </w:r>
      <w:r>
        <w:rPr>
          <w:rFonts w:ascii="方正仿宋_GBK" w:eastAsia="方正仿宋_GBK"/>
          <w:b/>
          <w:color w:val="000000" w:themeColor="text1"/>
          <w:sz w:val="28"/>
          <w14:textFill>
            <w14:solidFill>
              <w14:schemeClr w14:val="tx1"/>
            </w14:solidFill>
          </w14:textFill>
        </w:rPr>
        <w:instrText xml:space="preserve"> </w:instrText>
      </w:r>
      <w:r>
        <w:rPr>
          <w:rFonts w:ascii="方正仿宋_GBK" w:eastAsia="方正仿宋_GBK"/>
          <w:b/>
          <w:color w:val="000000" w:themeColor="text1"/>
          <w:sz w:val="28"/>
          <w14:textFill>
            <w14:solidFill>
              <w14:schemeClr w14:val="tx1"/>
            </w14:solidFill>
          </w14:textFill>
        </w:rPr>
        <w:fldChar w:fldCharType="end"/>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016"/>
        <w:gridCol w:w="1849"/>
        <w:gridCol w:w="1676"/>
        <w:gridCol w:w="655"/>
        <w:gridCol w:w="607"/>
        <w:gridCol w:w="1308"/>
        <w:gridCol w:w="1814"/>
        <w:gridCol w:w="1814"/>
        <w:gridCol w:w="2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防火专项预算项目绩效表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3"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13081122P008525100013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防火专项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全区防火宣传、督导等工作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gridSpan w:val="2"/>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防火宣传次数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完成3次防火宣传任务为优，反之为扣分项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防火督导检查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防火督导检查次数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完成督导检查12次为优，反火为扣分项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全年火灾控制率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全年火灾控制比例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全年火灾控制率低于0.03‰为优，反之适情况酌情扣分。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资金成本控制在预算范围内为优，超出预算适情况酌情扣分。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加大宣传力度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保证全区林地安全为优，反之适情况酌情扣分。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保障人民生命财产安全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保障人民生命财产安全为优，反之适情况酌情扣分。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打造健康持续的生态文明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打造健康持续的生态文明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打造健康持续的生态文明</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打造健康持续的生态文明为优，反之为扣分项。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根据制定的工作计划，使领导满意度达到100%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gridSpan w:val="2"/>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r>
    </w:tbl>
    <w:p>
      <w:pPr>
        <w:jc w:val="left"/>
        <w:rPr>
          <w:rFonts w:hint="eastAsia" w:ascii="方正仿宋_GBK" w:eastAsia="方正仿宋_GBK"/>
          <w:sz w:val="28"/>
        </w:rPr>
      </w:pPr>
    </w:p>
    <w:p>
      <w:pPr>
        <w:numPr>
          <w:ilvl w:val="0"/>
          <w:numId w:val="7"/>
        </w:numPr>
        <w:rPr>
          <w:rFonts w:ascii="方正仿宋_GBK" w:eastAsia="方正仿宋_GBK"/>
          <w:b/>
          <w:sz w:val="28"/>
        </w:rPr>
      </w:pPr>
      <w:r>
        <w:rPr>
          <w:rFonts w:hint="default" w:ascii="方正仿宋_GBK" w:eastAsia="方正仿宋_GBK"/>
          <w:b/>
          <w:sz w:val="28"/>
          <w:lang w:val="en-US" w:eastAsia="zh-CN"/>
        </w:rPr>
        <w:t>防汛视频网络专线、应急通知短信服务、预警广播通讯费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96"/>
        <w:gridCol w:w="1589"/>
        <w:gridCol w:w="1621"/>
        <w:gridCol w:w="1749"/>
        <w:gridCol w:w="632"/>
        <w:gridCol w:w="551"/>
        <w:gridCol w:w="1175"/>
        <w:gridCol w:w="3584"/>
        <w:gridCol w:w="20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13081122P00816110001A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防汛视频网络专线、应急通知短信服务、预警广播通讯费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保障汛期通讯畅通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租赁数字电路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租赁数字电路条数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完成4条数字电路为优，反之为扣分项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通讯安全畅通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保障数字电路畅通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数字电路安全畅通为优，反之为扣分项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数字电路数据传输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数字电路数据传输是否及时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数字电路数据传输及为优，反之为扣分项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租赁合同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承市汛办【2018】56号文件，根据制定的工作计划，签订租赁合同，做到提前预知，减少灾害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做到提前预知，减少灾害为优，反之为扣分项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承市汛办【2018】56号文件，根据制定的工作计划，签订租赁合同，保障汛期人民生命财产安全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保障汛期人民生命财产安全为优，反之为扣分项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加强汛期通讯检测能力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保障数据畅通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承市汛办【2018】56号文件，根据制定的工作计划，签订租赁合同，保障汛期数据传输畅通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汛期数据传输畅通为优，反之为扣分项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根据实际需要制定工作计划，使领导达到100%满意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领导满意度达到100%为优，反之为扣分项</w:t>
            </w:r>
          </w:p>
        </w:tc>
      </w:tr>
    </w:tbl>
    <w:p>
      <w:pPr>
        <w:jc w:val="left"/>
        <w:rPr>
          <w:rFonts w:hint="eastAsia" w:ascii="方正仿宋_GBK" w:eastAsia="方正仿宋_GBK"/>
          <w:sz w:val="28"/>
        </w:rPr>
      </w:pPr>
    </w:p>
    <w:p>
      <w:pPr>
        <w:jc w:val="left"/>
        <w:outlineLvl w:val="3"/>
        <w:rPr>
          <w:rFonts w:ascii="Times New Roman" w:hAnsi="宋体"/>
          <w:b/>
          <w:sz w:val="28"/>
        </w:rPr>
      </w:pPr>
      <w:r>
        <w:rPr>
          <w:rFonts w:hint="eastAsia" w:ascii="方正仿宋_GBK" w:eastAsia="方正仿宋_GBK"/>
          <w:b/>
          <w:sz w:val="28"/>
        </w:rPr>
        <w:t>6.</w:t>
      </w:r>
      <w:r>
        <w:rPr>
          <w:rFonts w:hint="eastAsia" w:ascii="方正仿宋_GBK" w:eastAsia="方正仿宋_GBK"/>
          <w:b/>
          <w:sz w:val="28"/>
          <w:lang w:val="en-US" w:eastAsia="zh-CN"/>
        </w:rPr>
        <w:t>防汛物资储备</w:t>
      </w:r>
      <w:r>
        <w:rPr>
          <w:rFonts w:hint="eastAsia" w:ascii="方正仿宋_GBK" w:eastAsia="方正仿宋_GBK"/>
          <w:b/>
          <w:sz w:val="28"/>
        </w:rPr>
        <w:t>绩效目标表</w:t>
      </w:r>
      <w:r>
        <w:rPr>
          <w:rFonts w:ascii="方正仿宋_GBK" w:eastAsia="方正仿宋_GBK"/>
          <w:b/>
          <w:sz w:val="28"/>
        </w:rPr>
        <w:fldChar w:fldCharType="begin"/>
      </w:r>
      <w:r>
        <w:rPr>
          <w:rFonts w:ascii="方正仿宋_GBK" w:eastAsia="方正仿宋_GBK"/>
          <w:b/>
          <w:sz w:val="28"/>
        </w:rPr>
        <w:instrText xml:space="preserve"> </w:instrText>
      </w:r>
      <w:r>
        <w:rPr>
          <w:rFonts w:hint="eastAsia" w:ascii="方正仿宋_GBK" w:eastAsia="方正仿宋_GBK"/>
          <w:b/>
          <w:sz w:val="28"/>
        </w:rPr>
        <w:instrText xml:space="preserve">TC 6、白河干流黄旗湾引水钢板坝工程绩效目标表 \f C \l 1</w:instrText>
      </w:r>
      <w:r>
        <w:rPr>
          <w:rFonts w:ascii="方正仿宋_GBK" w:eastAsia="方正仿宋_GBK"/>
          <w:b/>
          <w:sz w:val="28"/>
        </w:rPr>
        <w:instrText xml:space="preserve"> </w:instrText>
      </w:r>
      <w:r>
        <w:rPr>
          <w:rFonts w:ascii="方正仿宋_GBK" w:eastAsia="方正仿宋_GBK"/>
          <w:b/>
          <w:sz w:val="28"/>
        </w:rPr>
        <w:fldChar w:fldCharType="end"/>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84"/>
        <w:gridCol w:w="931"/>
        <w:gridCol w:w="1470"/>
        <w:gridCol w:w="1973"/>
        <w:gridCol w:w="623"/>
        <w:gridCol w:w="551"/>
        <w:gridCol w:w="1460"/>
        <w:gridCol w:w="4399"/>
        <w:gridCol w:w="1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9"/>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防汛物资储备绩效目标表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9"/>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13081122P00815810001T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防汛物资储备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成高新区区域内的防汛物资购置,确保汛期安全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防汛物资充足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保障防汛物资库存充足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及时补充库存，保障防汛物资充足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按照制定的工作计划,在汛期来临前保障防汛物资库存充足,达到工作要求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库存物资充足为优，反之为扣分项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物资检测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物资检测达标率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按照制定的工作计划,在汛期来临前保障防汛物资检测达标率达到100%,达到工作要求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物资检测达标率达到100%为优，反之为扣分项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购买防汛物资及时率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购买防汛物资情况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防洪法、河北省防汛抗旱指挥部文件冀汛（2016）4号文河北省水利厅冀水防函（2019）11号文,按照文件要求及时购买防汛物资。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及时购买防汛物资为优，反之为扣分项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成本资金控制在预算范围内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按照制定的工作计划,在汛期来临前保障防汛物资库存充足,资金控制在预算范围内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成本资金控制在预算范围内为优，反之为扣分项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资金的使用效率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及时补充库存，保障防汛物资充足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及时补充库存，保障防汛物资充足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按照制定的工作计划,在汛期来临前保障防汛物资库存充足,充分发挥资金的使用效率，达到工作要求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充分发挥资金的使用效率为优，反之为扣分项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群众财产保障度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减少群众财产损失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按照制定的工作计划,在汛期来临前保障防汛物资库存充足,减少群众财产损失，达到工作要求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减少群众财产损失为优，反之为扣分项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按照制定的工作计划,在汛期来临前保障防汛物资库存充足,改善生态环境达到工作要求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汛期安全，社会稳定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按照制定的工作计划,在汛期来临前保障防汛物资库存充足,达到工作要求，维护社会稳定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汛期安全维护社会稳定为优，反之为扣分项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按照制定的工作计划,在汛期来临前保障防汛物资库存充足,达到工作要求，使领导达到100%满意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bl>
    <w:p>
      <w:pPr>
        <w:rPr>
          <w:rFonts w:hint="eastAsia" w:ascii="仿宋" w:hAnsi="仿宋" w:eastAsia="仿宋"/>
        </w:rPr>
      </w:pPr>
    </w:p>
    <w:p>
      <w:pPr>
        <w:tabs>
          <w:tab w:val="left" w:pos="312"/>
        </w:tabs>
        <w:rPr>
          <w:rFonts w:ascii="仿宋" w:hAnsi="仿宋" w:eastAsia="仿宋"/>
          <w:b/>
          <w:bCs/>
        </w:rPr>
      </w:pPr>
      <w:r>
        <w:rPr>
          <w:rFonts w:hint="eastAsia" w:ascii="仿宋" w:hAnsi="仿宋" w:eastAsia="仿宋"/>
          <w:b/>
          <w:bCs/>
        </w:rPr>
        <w:t>7.</w:t>
      </w:r>
      <w:r>
        <w:rPr>
          <w:rFonts w:hint="eastAsia" w:ascii="方正仿宋_GBK" w:eastAsia="方正仿宋_GBK"/>
          <w:b/>
          <w:sz w:val="28"/>
        </w:rPr>
        <w:t xml:space="preserve"> </w:t>
      </w:r>
      <w:r>
        <w:rPr>
          <w:rFonts w:hint="eastAsia" w:ascii="方正仿宋_GBK" w:eastAsia="方正仿宋_GBK"/>
          <w:b/>
          <w:sz w:val="28"/>
          <w:lang w:val="en-US" w:eastAsia="zh-CN"/>
        </w:rPr>
        <w:t>防汛演练及防汛组织费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14"/>
        <w:gridCol w:w="990"/>
        <w:gridCol w:w="1675"/>
        <w:gridCol w:w="1804"/>
        <w:gridCol w:w="646"/>
        <w:gridCol w:w="551"/>
        <w:gridCol w:w="1072"/>
        <w:gridCol w:w="3754"/>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防汛演练及防汛组织费预算项目绩效表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13081122P0092LW10002N</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防汛演练及防汛组织费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防汛演练及防汛年度组织一次以上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防汛演练和防汛组织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演练一次以上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防洪法及实际工作需要制定的工作计划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防汛演练和防汛组织一次以上为优，反之为扣分项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防汛演练和防汛组织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防洪法及实际工作需要制定的工作计划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防汛演练和防汛组织达到效果为优，反之为扣分项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防汛组织及时性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防汛组织及时率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防洪法及实际工作需要制定的工作计划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防汛演练和防汛组织及时率达到100%为优，反之为扣分项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防洪法及实际工作需要制定的工作计划</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资本成本控制在预算范围内，反之为扣分项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承市汛办【2018】56号文件，根据制定的工作计划，签订租赁合同，做到提前预知，减少灾害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做到提前预知，减少灾害为优，反之为扣分项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承市汛办【2018】56号文件，根据制定的工作计划，签订租赁合同，保障汛期人民生命财产安全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保障汛期人民生命财产安全为优，反之为扣分项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加强汛期通讯检测能力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保障数据畅通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承市汛办【2018】56号文件，根据制定的工作计划，签订租赁合同，保障汛期数据传输畅通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汛期数据传输畅通为优，反之为扣分项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承市汛办【2018】56号文件，根据制定的工作计划，推动防汛事业长远发展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根据实际需要制定工作计划，使领导达到100%满意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领导满意度达到100%为优，反之为扣分项</w:t>
            </w:r>
          </w:p>
        </w:tc>
      </w:tr>
    </w:tbl>
    <w:p>
      <w:pPr>
        <w:tabs>
          <w:tab w:val="left" w:pos="312"/>
        </w:tabs>
        <w:rPr>
          <w:rFonts w:ascii="方正仿宋_GBK" w:eastAsia="方正仿宋_GBK"/>
          <w:b/>
          <w:sz w:val="28"/>
        </w:rPr>
      </w:pPr>
      <w:r>
        <w:rPr>
          <w:rFonts w:hint="eastAsia" w:ascii="仿宋" w:hAnsi="仿宋" w:eastAsia="仿宋"/>
          <w:b/>
          <w:bCs/>
        </w:rPr>
        <w:t>8.</w:t>
      </w:r>
      <w:r>
        <w:rPr>
          <w:rFonts w:hint="eastAsia" w:ascii="方正仿宋_GBK" w:eastAsia="方正仿宋_GBK"/>
          <w:b/>
          <w:sz w:val="28"/>
        </w:rPr>
        <w:t xml:space="preserve"> </w:t>
      </w:r>
      <w:r>
        <w:rPr>
          <w:rFonts w:hint="eastAsia" w:ascii="方正仿宋_GBK" w:eastAsia="方正仿宋_GBK"/>
          <w:b/>
          <w:sz w:val="28"/>
          <w:lang w:val="en-US" w:eastAsia="zh-CN"/>
        </w:rPr>
        <w:t>干果果品安全</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802"/>
        <w:gridCol w:w="1168"/>
        <w:gridCol w:w="1969"/>
        <w:gridCol w:w="1722"/>
        <w:gridCol w:w="713"/>
        <w:gridCol w:w="551"/>
        <w:gridCol w:w="1205"/>
        <w:gridCol w:w="2577"/>
        <w:gridCol w:w="29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干果果品安全预算项目绩效表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13081122P00814810001K</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干果果品安全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保障全区干果果品安全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完成干果果品安全宣传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区域内干果果品安全宣传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完成1次干果果品安全宣传为优，反之为扣分项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保障全区干果果品安全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全区果品安全为优，反之为扣分项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全年未发生果品安全事件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果品安全事件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果品安全事件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未发生果品安全事件为优，反之为扣分项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项目资金支付率达到100%支付为优，其它适情况着情扣分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提供果品安全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提供果品安全为优，反之为扣分项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保障群众食用果品安全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区域内食用干果果品安全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食用干果果品安全为优，反之为扣分项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维护生态平衡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维护生态平衡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生态平衡为优，反之为扣分项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持续保障干果果品安全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持续保障干果果品安全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干果果品安全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承德市林业和草原局下达工作任务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持续干果果品安全为优，反之为扣分项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根据制定的工作计划，使居民的满意度达到95%以上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群众的满意度达到95%以为优，低于90%为扣分项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0" w:type="auto"/>
            <w:tcBorders>
              <w:top w:val="nil"/>
              <w:left w:val="single" w:color="B0C4DE" w:sz="4" w:space="0"/>
              <w:bottom w:val="single" w:color="B0C4DE" w:sz="4" w:space="0"/>
              <w:right w:val="single" w:color="B0C4DE" w:sz="4" w:space="0"/>
            </w:tcBorders>
            <w:shd w:val="clear" w:color="auto" w:fill="E9EFF6"/>
            <w:vAlign w:val="center"/>
          </w:tcPr>
          <w:p>
            <w:pPr>
              <w:jc w:val="center"/>
              <w:rPr>
                <w:rFonts w:hint="default" w:ascii="Calibri" w:hAnsi="Calibri" w:eastAsia="宋体" w:cs="Calibri"/>
                <w:i w:val="0"/>
                <w:iCs w:val="0"/>
                <w:color w:val="000000"/>
                <w:sz w:val="22"/>
                <w:szCs w:val="22"/>
                <w:u w:val="none"/>
              </w:rPr>
            </w:pPr>
          </w:p>
        </w:tc>
        <w:tc>
          <w:tcPr>
            <w:tcW w:w="0" w:type="auto"/>
            <w:tcBorders>
              <w:top w:val="nil"/>
              <w:left w:val="nil"/>
              <w:bottom w:val="nil"/>
              <w:right w:val="nil"/>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nil"/>
              <w:left w:val="single" w:color="B0C4DE" w:sz="4" w:space="0"/>
              <w:bottom w:val="single" w:color="B0C4DE" w:sz="4" w:space="0"/>
              <w:right w:val="single" w:color="B0C4DE" w:sz="4" w:space="0"/>
            </w:tcBorders>
            <w:shd w:val="clear" w:color="auto" w:fill="auto"/>
            <w:vAlign w:val="top"/>
          </w:tcPr>
          <w:p>
            <w:pPr>
              <w:rPr>
                <w:rFonts w:hint="default" w:ascii="Calibri" w:hAnsi="Calibri" w:eastAsia="宋体" w:cs="Calibri"/>
                <w:i w:val="0"/>
                <w:iCs w:val="0"/>
                <w:color w:val="000000"/>
                <w:sz w:val="22"/>
                <w:szCs w:val="22"/>
                <w:u w:val="none"/>
              </w:rPr>
            </w:pPr>
          </w:p>
        </w:tc>
      </w:tr>
    </w:tbl>
    <w:p>
      <w:pPr>
        <w:jc w:val="left"/>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9.</w:t>
      </w:r>
      <w:r>
        <w:rPr>
          <w:rFonts w:hint="eastAsia" w:ascii="方正仿宋_GBK" w:eastAsia="方正仿宋_GBK"/>
          <w:b/>
          <w:sz w:val="28"/>
        </w:rPr>
        <w:t xml:space="preserve"> </w:t>
      </w:r>
      <w:r>
        <w:rPr>
          <w:rFonts w:hint="eastAsia" w:ascii="方正仿宋_GBK" w:eastAsia="方正仿宋_GBK"/>
          <w:b/>
          <w:sz w:val="28"/>
          <w:lang w:val="en-US" w:eastAsia="zh-CN"/>
        </w:rPr>
        <w:t>古树名木保护</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87"/>
        <w:gridCol w:w="937"/>
        <w:gridCol w:w="1632"/>
        <w:gridCol w:w="2576"/>
        <w:gridCol w:w="626"/>
        <w:gridCol w:w="551"/>
        <w:gridCol w:w="2221"/>
        <w:gridCol w:w="1970"/>
        <w:gridCol w:w="24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古树名木保护预算项目绩效表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13081122P008149100019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古树名木保护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维护全区古树名木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加固基础，增加防护措施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完成3株名木古树危树的养护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完成维护3株为优，反之为扣分项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实施有效保护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符合技术标准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保障古树名木生存环境、生长状况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正常生长为优，反之为扣分项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维护工程竣工情况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维护工程竣工及时率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工程按要求及时竣工为优，反之为扣分项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维护资金支付率达到100%支付为优，反之为扣分项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提高经济效益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古树名木是不可再生的历史资源，提高其科研及历史价值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保障古树名木生存环境、生长状况，是绿化美化的组成部分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科学和历史观赏价值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古树名木是不可再生的活化石，提高其科研及历史价值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不可再生的自然和文化遗产，具有重要的科学和历史观赏价值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保护生态环境，提升适生物种生长环境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是前人留下的重要遗产，是生态文明的重要继承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提升绿化美化景观效果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提升绿化美化景观效果，带动村庄绿化美化建设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村庄绿化美化建设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河北省古树名木保护办法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提升绿化美化景观效果，带动城镇绿化美化为优，反之为扣分项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根据制定的工作计划，使居民的满意度达到95%以上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居民的满意度达到95%以为优，低于90%为扣分项</w:t>
            </w:r>
          </w:p>
        </w:tc>
      </w:tr>
    </w:tbl>
    <w:p>
      <w:pPr>
        <w:jc w:val="left"/>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10.</w:t>
      </w:r>
      <w:r>
        <w:rPr>
          <w:rFonts w:hint="eastAsia" w:ascii="方正仿宋_GBK" w:eastAsia="方正仿宋_GBK"/>
          <w:b/>
          <w:sz w:val="28"/>
        </w:rPr>
        <w:t xml:space="preserve"> </w:t>
      </w:r>
      <w:r>
        <w:rPr>
          <w:rFonts w:hint="eastAsia" w:ascii="方正仿宋_GBK" w:eastAsia="方正仿宋_GBK"/>
          <w:b/>
          <w:sz w:val="28"/>
          <w:lang w:val="en-US" w:eastAsia="zh-CN"/>
        </w:rPr>
        <w:t>河湖智慧视频系统服务费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45"/>
        <w:gridCol w:w="853"/>
        <w:gridCol w:w="1754"/>
        <w:gridCol w:w="2960"/>
        <w:gridCol w:w="594"/>
        <w:gridCol w:w="607"/>
        <w:gridCol w:w="1438"/>
        <w:gridCol w:w="1698"/>
        <w:gridCol w:w="30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河湖智慧视频系统服务费预算项目绩效表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13081122P008157100015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河湖智慧视频系统服务费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实现对河湖的动态化全方位实时监控动态管控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前端点位视频监控前段点位建设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视频监控个数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交付及验收合同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按照购买合同,委托建设交付方公司达到五个前段点位的建设交付,达到工作使用要求为优，反之为扣分项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前段点位视频监测站点建设质量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前段点位视频监测站点建设质量是否合格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交付及验收合同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按照交付验收合同,完成五个前段点位的交付质量要求,达到质量合格要求为优，反之为扣分项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前段点位视频监测站点建设及时性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前段点位视频监测站点建设及及时率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按照制定的购买合同,完成智能监控的五个前段点位的及时交付为优，反之为扣分项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成本控制在合同价内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成本资金控制在预算范围内为优，反之为扣分项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防洪减灾辅助决策，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有效应对，减少洪涝灾害提供技术支持。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对河湖洪可视化监控结合水文雨情数据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汛期防洪减灾预警保障辅助决策有效为优，反之为扣分项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输水监控监测预警功能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监测预警对破坏引水调水工程和河渠发生的污染问题，提高输水和水风险防控能力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能否监测预警识别</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能监测预警识别为优，反之为扣分项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河湖管理监测预警功能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能否提高河湖生态监管水平。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能有效提高河湖生态监管水平为优，反之为扣分项。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持续提升河湖监测预警管控能力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能否持续提升河湖监测预警管控能力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购买合同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能有效持续提升河湖监测预警管控能力为优，反之为扣分项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根据实际工作需要制定使用计划，使领导达到满意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领导达到满意为优，未达到满意为扣分项</w:t>
            </w:r>
          </w:p>
        </w:tc>
      </w:tr>
    </w:tbl>
    <w:p>
      <w:pPr>
        <w:jc w:val="left"/>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11.</w:t>
      </w:r>
      <w:r>
        <w:rPr>
          <w:rFonts w:hint="eastAsia" w:ascii="方正仿宋_GBK" w:eastAsia="方正仿宋_GBK"/>
          <w:b/>
          <w:sz w:val="28"/>
        </w:rPr>
        <w:t xml:space="preserve"> </w:t>
      </w:r>
      <w:r>
        <w:rPr>
          <w:rFonts w:hint="eastAsia" w:ascii="方正仿宋_GBK" w:eastAsia="方正仿宋_GBK"/>
          <w:b/>
          <w:sz w:val="28"/>
          <w:lang w:val="en-US" w:eastAsia="zh-CN"/>
        </w:rPr>
        <w:t>河长制工作</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10"/>
        <w:gridCol w:w="783"/>
        <w:gridCol w:w="2255"/>
        <w:gridCol w:w="1998"/>
        <w:gridCol w:w="568"/>
        <w:gridCol w:w="830"/>
        <w:gridCol w:w="1220"/>
        <w:gridCol w:w="3241"/>
        <w:gridCol w:w="21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河长制工作预算项目绩效表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13081122P00815210001Q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河长制工作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完成河长制、河湖生态监管督查工作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河长制培训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河长制培训1次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承河湖办字【2020】11号文件，完成河长制培训1次。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完成河长制培训为优，未完成培训为扣分项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公示牌更换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河长制公示牌更换完成情况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承河湖办字【2020】11号文件，根据工作需要及时完成对河长制公示牌的更换。</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及时完成公示牌更换为优，不能完成为扣分项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河长制工作巡河及时性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巡河是否及时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承河湖办字【2020】11号文件，根据制定的工作计划，及时巡河。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巡河工作及时完成为优，未能及时巡河为扣分项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195.97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承河湖办字【2020】11号文件，根据制定工作启计划，使资金成本在可控范围内。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资金在可控范围内为优，超出资金可控范围为扣分项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水环境改善是否明显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承河湖办字【2020】11号文件，根据制定的工作计划，使水环境得到明显改善。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水环境得到改善为优，未能得到改善为扣分 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增加对河道整洁的意识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加增宣传力度，加深对河道整洁的意识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意识明显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承河湖办字【2020】11号文件，根据制定的工作计划，更好的了解河势变化及对河道整治进行宣传，加深对河道整的意识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加深河道整洁的意识为优，反之为扣分项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生态环境质量改善是否得到改善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承河湖办字【2020】11号文件，根据制定的工作计划促使生态环境得到改善。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生态环境得到改善为优，未能得到改善为扣分项。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逐步促进了解河势变化及对防洪、河道整治的开发利用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逐步促进了解河势变化及对防洪、河道整治的开发利用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及时了解河势变化及河道清理整治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承河湖办字【2020】11号文件，根据制定的工作计划，更好的了解河势变化及对河道整治。</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及时了解河势变化、及时对河道进行清理整治为优，未能及时为扣分项。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根据制定的工作计划，使领导对工作达到100%满意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领导满意度达到100%为优，90%以下为扣分项</w:t>
            </w:r>
          </w:p>
        </w:tc>
      </w:tr>
    </w:tbl>
    <w:p>
      <w:pPr>
        <w:jc w:val="left"/>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12.</w:t>
      </w:r>
      <w:r>
        <w:rPr>
          <w:rFonts w:hint="eastAsia" w:ascii="方正仿宋_GBK" w:eastAsia="方正仿宋_GBK"/>
          <w:b/>
          <w:sz w:val="28"/>
        </w:rPr>
        <w:t xml:space="preserve"> </w:t>
      </w:r>
      <w:r>
        <w:rPr>
          <w:rFonts w:hint="eastAsia" w:ascii="方正仿宋_GBK" w:eastAsia="方正仿宋_GBK"/>
          <w:b/>
          <w:sz w:val="28"/>
          <w:lang w:val="en-US" w:eastAsia="zh-CN"/>
        </w:rPr>
        <w:t>火灾预防专项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16"/>
        <w:gridCol w:w="996"/>
        <w:gridCol w:w="1815"/>
        <w:gridCol w:w="1747"/>
        <w:gridCol w:w="648"/>
        <w:gridCol w:w="551"/>
        <w:gridCol w:w="1425"/>
        <w:gridCol w:w="3534"/>
        <w:gridCol w:w="22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火灾预防专项预算项目绩效表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13081122P008140100016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火灾预防专项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防火宣传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宣传次数达到3次为优，低于3次为扣分项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防火督导检查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督导检查次数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督导次数达到12次为优，低于10次为扣分项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全年火灾控制率在0.3‰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火灾控制率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火灾控制率控制在0.30‰以下为优，反之为扣分项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总成本资金不超预算为优，超出预算为扣分项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加大宣传力度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降低风险、保证全区林地安全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降低风险、保证全区林地安全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降低风险、保证全区林地安全为优，反之为扣分项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生命财产安全得到保障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生命财产安全得到保障为优，反之为扣分项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打造健康持续的生态文明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持续生态文明发展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持续生态文明发展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河北省人民政府办公厅 关于印发《河北省森林草原防灭火工作 责任制规定（试行）》的通知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持续生态文明发展为优，反之为扣分项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根据制定的工作计划，使领导满意度达到100%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bl>
    <w:p>
      <w:pPr>
        <w:jc w:val="both"/>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13.</w:t>
      </w:r>
      <w:r>
        <w:rPr>
          <w:rFonts w:hint="eastAsia" w:ascii="方正仿宋_GBK" w:eastAsia="方正仿宋_GBK"/>
          <w:b/>
          <w:sz w:val="28"/>
        </w:rPr>
        <w:t xml:space="preserve"> </w:t>
      </w:r>
      <w:r>
        <w:rPr>
          <w:rFonts w:hint="eastAsia" w:ascii="方正仿宋_GBK" w:eastAsia="方正仿宋_GBK"/>
          <w:b/>
          <w:sz w:val="28"/>
          <w:lang w:val="en-US" w:eastAsia="zh-CN"/>
        </w:rPr>
        <w:t>简易雨量站建设费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88"/>
        <w:gridCol w:w="939"/>
        <w:gridCol w:w="1575"/>
        <w:gridCol w:w="1886"/>
        <w:gridCol w:w="626"/>
        <w:gridCol w:w="551"/>
        <w:gridCol w:w="1347"/>
        <w:gridCol w:w="3580"/>
        <w:gridCol w:w="24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简易雨量站建设费预算项目绩效表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13081122P008154100014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简易雨量站建设费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解决饮水困难</w:t>
            </w:r>
            <w:r>
              <w:rPr>
                <w:rFonts w:hint="eastAsia" w:cs="Calibri"/>
                <w:i w:val="0"/>
                <w:iCs w:val="0"/>
                <w:color w:val="000000"/>
                <w:kern w:val="0"/>
                <w:sz w:val="22"/>
                <w:szCs w:val="22"/>
                <w:u w:val="none"/>
                <w:lang w:val="en-US" w:eastAsia="zh-CN" w:bidi="ar"/>
              </w:rPr>
              <w:t>群众</w:t>
            </w:r>
            <w:r>
              <w:rPr>
                <w:rFonts w:hint="default" w:ascii="Calibri" w:hAnsi="Calibri" w:eastAsia="宋体" w:cs="Calibri"/>
                <w:i w:val="0"/>
                <w:iCs w:val="0"/>
                <w:color w:val="000000"/>
                <w:kern w:val="0"/>
                <w:sz w:val="22"/>
                <w:szCs w:val="22"/>
                <w:u w:val="none"/>
                <w:lang w:val="en-US" w:eastAsia="zh-CN" w:bidi="ar"/>
              </w:rPr>
              <w:t>，提高供水保障率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简易雨量安装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简易雨量采购、安装个数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根据签订的承德高新区简易雨量采购合同，根据制定的工作计划，对区域内35个村进行简易雨量的采购及安装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完成35个村的简易雨量安装为优，未完成35个村安装为扣分项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简易雨量的质量情况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简易雨量的质量是否合格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根据制定的工作计划，对简易雨量进行安装，经测试产品合格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产品合格为优，不合格为扣分项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简易雨量安装及时率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简易雨量安装情况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根据制定的工作计划，及时对35个村进行简易雨量安装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及时完成安装为优，未及时完成为扣分项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根据工作实际，制定工作计划，把采购安装成本控制在预算范围内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成本控制在预算范围内为优，超出预算范围为扣分项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是否能够推动防汛事业长远发展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根据制定的工作计划，对简易雨量进行安装，可推动防汛事业长远长展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推动防汛事业的长远发展为优，反之为扣分项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根据制定的工作计划，对简易雨量进行安装，做到提前预知，减少灾害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能够做到提前预知为优，反之为扣分项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是否能保障汛期安全运行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根据制定的工作计划，对简易雨量进行安装，保障汛期安全运行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保障汛期安全运行为优，反之为扣分项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可持续加强汛期雨水监检测能力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持续加强汛期雨水监检测能力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根据制定的工作计划，对简易雨量进行安装，加强汛期雨水监检测能力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加强汛期雨水监检测能力为优，反之为扣分项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根据实际需要，制定的工作计划，使领导达到满意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领导对工作达到满意为优，不满意为扣分项</w:t>
            </w:r>
          </w:p>
        </w:tc>
      </w:tr>
    </w:tbl>
    <w:p>
      <w:pPr>
        <w:jc w:val="left"/>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14.</w:t>
      </w:r>
      <w:r>
        <w:rPr>
          <w:rFonts w:hint="eastAsia" w:ascii="方正仿宋_GBK" w:eastAsia="方正仿宋_GBK"/>
          <w:b/>
          <w:sz w:val="28"/>
        </w:rPr>
        <w:t xml:space="preserve"> </w:t>
      </w:r>
      <w:r>
        <w:rPr>
          <w:rFonts w:hint="eastAsia" w:ascii="方正仿宋_GBK" w:eastAsia="方正仿宋_GBK"/>
          <w:b/>
          <w:sz w:val="28"/>
          <w:lang w:val="en-US" w:eastAsia="zh-CN"/>
        </w:rPr>
        <w:t>抗旱</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16"/>
        <w:gridCol w:w="1385"/>
        <w:gridCol w:w="2898"/>
        <w:gridCol w:w="1304"/>
        <w:gridCol w:w="576"/>
        <w:gridCol w:w="1786"/>
        <w:gridCol w:w="934"/>
        <w:gridCol w:w="2322"/>
        <w:gridCol w:w="17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60" w:hRule="atLeast"/>
        </w:trPr>
        <w:tc>
          <w:tcPr>
            <w:tcW w:w="0" w:type="auto"/>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抗旱预算项目绩效表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13081122P00816410001B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抗旱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保障春、秋两季居民人饮解困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打井眼数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发生旱情完成指数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根据抗旱条例，根据制定工作计划，今年至少打2眼井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打井眼数大于2眼为优，反之为扣分项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崔梨沟村氟超标饮水情况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保障村民吃上放心水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根据制定工作计划，签订的净水设备维保服务协议，保障村民吃上放心水。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村民饮水得到保障为优，反之为扣分项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氟超标处理的及时性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解决氟超标问题的及时性比例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根据制定的工作计划，签订净水设备维保服务协议，使氟超标问题及时得到解决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及时解决氟超标问题为优，反之为扣分项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保证抗旱、人饮解困费用不超出预算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改善水环境，为居民减少经济支出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根据制定工作计划，签订的净水设备维保服务协议，保障村民饮水安全，减少经济支出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村民饮水得到保障为优，反之为扣分项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项目实施对环境的影响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项目实施保障居民的饮水安全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饮水安全得到保障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根据制定的工作计划，解决氟超标问题，保障村民饮水安全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村民饮水得到保障为优，反之为扣分项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生态环境改善是否明显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根据制定的工作计划，解决氟超标问题，使生态环境得到改善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出水年限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保障打井出水年限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根据制定的工作计划，基本保障打井的出水年限达到3年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出水年限达到3年为优，小于1年为扣分项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根据制定工作计划，及时解决了氟超标问题，使群众满意度达到95%以上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群众满意度达到95%以上为优，90以下为扣分项</w:t>
            </w:r>
          </w:p>
        </w:tc>
      </w:tr>
    </w:tbl>
    <w:p>
      <w:pPr>
        <w:jc w:val="both"/>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15.</w:t>
      </w:r>
      <w:r>
        <w:rPr>
          <w:rFonts w:hint="eastAsia" w:ascii="方正仿宋_GBK" w:eastAsia="方正仿宋_GBK"/>
          <w:b/>
          <w:sz w:val="28"/>
        </w:rPr>
        <w:t xml:space="preserve"> </w:t>
      </w:r>
      <w:r>
        <w:rPr>
          <w:rFonts w:hint="eastAsia" w:ascii="方正仿宋_GBK" w:eastAsia="方正仿宋_GBK"/>
          <w:b/>
          <w:sz w:val="28"/>
          <w:lang w:val="en-US" w:eastAsia="zh-CN"/>
        </w:rPr>
        <w:t>林业保险区级配套</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80"/>
        <w:gridCol w:w="925"/>
        <w:gridCol w:w="2092"/>
        <w:gridCol w:w="1591"/>
        <w:gridCol w:w="621"/>
        <w:gridCol w:w="551"/>
        <w:gridCol w:w="1267"/>
        <w:gridCol w:w="3603"/>
        <w:gridCol w:w="2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林业保险区级配套预算项目绩效表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13081122P00AT0610002M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林业保险区级配套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目标内容1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林业保险覆盖村数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保险覆盖全区38个村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承德市森林保险试点工作实施方案根据实际工作需要,保险覆盖全区38个村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林业保险覆盖率达到38个村为满分，其它适情况着情扣分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林业保险支付完成情况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承德市森林保险试点工作实施方案根据实际工作需要,保险覆盖全区38个村，发生险情保证及时出险、理培工作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林业保险支付完成率达到100%为满分，其他适情况着情扣分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林业保险出险及时率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承德市森林保险试点工作实施方案，根据工作需要及时为林木上林业保险。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及时上林业保险为优，反之为扣分项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理培标准金额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反映理培情况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元/每亩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承德市森林保险试点工作实施方案,为公益林上林业保险，保险金额每亩600元。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保障林业保险每亩金额为600元为满分，反之为扣分项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降低森林资源风险，减少经济损失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减少经济损失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减少经济损失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承德市森林保险试点工作实施方案,为公益林上林业保险，降低风险，减少经济损失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降低风险、减少经济损失为优，反之为扣分项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理培及时，维护社会稳定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承德市森林保险试点工作实施方案,为公益林上林业保险，及时理培维护社会稳定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及时理培维护社会稳定为优，反之为扣分项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承德市森林保险试点工作实施方案,为公益林上林业保险，有效改善生态环境质量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改善环境环境为优，反之为扣分项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对林业资源持续进行保护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保障林业保险持续发近作用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保障林业保险持续发近作用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承德市森林保险试点工作实施方案,为公益林上林业保险，项目持续发挥作用期限1年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项目持续发挥作用期限达到1年为优，反之为保分项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救助对象的满意度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救助对象的满意度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承德市森林保险试点工作实施方案,为公益林上林业保险，出险及时，理培及时，使救助</w:t>
            </w:r>
            <w:r>
              <w:rPr>
                <w:rFonts w:hint="eastAsia" w:cs="Calibri"/>
                <w:i w:val="0"/>
                <w:iCs w:val="0"/>
                <w:color w:val="000000"/>
                <w:kern w:val="0"/>
                <w:sz w:val="22"/>
                <w:szCs w:val="22"/>
                <w:u w:val="none"/>
                <w:lang w:val="en-US" w:eastAsia="zh-CN" w:bidi="ar"/>
              </w:rPr>
              <w:t>对象</w:t>
            </w:r>
            <w:r>
              <w:rPr>
                <w:rFonts w:hint="default" w:ascii="Calibri" w:hAnsi="Calibri" w:eastAsia="宋体" w:cs="Calibri"/>
                <w:i w:val="0"/>
                <w:iCs w:val="0"/>
                <w:color w:val="000000"/>
                <w:kern w:val="0"/>
                <w:sz w:val="22"/>
                <w:szCs w:val="22"/>
                <w:u w:val="none"/>
                <w:lang w:val="en-US" w:eastAsia="zh-CN" w:bidi="ar"/>
              </w:rPr>
              <w:t>的满意度达到90%以上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救助</w:t>
            </w:r>
            <w:r>
              <w:rPr>
                <w:rFonts w:hint="eastAsia" w:cs="Calibri"/>
                <w:i w:val="0"/>
                <w:iCs w:val="0"/>
                <w:color w:val="000000"/>
                <w:kern w:val="0"/>
                <w:sz w:val="22"/>
                <w:szCs w:val="22"/>
                <w:u w:val="none"/>
                <w:lang w:val="en-US" w:eastAsia="zh-CN" w:bidi="ar"/>
              </w:rPr>
              <w:t>对象</w:t>
            </w:r>
            <w:r>
              <w:rPr>
                <w:rFonts w:hint="default" w:ascii="Calibri" w:hAnsi="Calibri" w:eastAsia="宋体" w:cs="Calibri"/>
                <w:i w:val="0"/>
                <w:iCs w:val="0"/>
                <w:color w:val="000000"/>
                <w:kern w:val="0"/>
                <w:sz w:val="22"/>
                <w:szCs w:val="22"/>
                <w:u w:val="none"/>
                <w:lang w:val="en-US" w:eastAsia="zh-CN" w:bidi="ar"/>
              </w:rPr>
              <w:t>的满意度达到90%以上为优，低于80%为扣分项</w:t>
            </w:r>
          </w:p>
        </w:tc>
      </w:tr>
    </w:tbl>
    <w:p>
      <w:pPr>
        <w:jc w:val="both"/>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16.</w:t>
      </w:r>
      <w:r>
        <w:rPr>
          <w:rFonts w:hint="eastAsia" w:ascii="方正仿宋_GBK" w:eastAsia="方正仿宋_GBK"/>
          <w:b/>
          <w:sz w:val="28"/>
        </w:rPr>
        <w:t xml:space="preserve"> </w:t>
      </w:r>
      <w:r>
        <w:rPr>
          <w:rFonts w:hint="eastAsia" w:ascii="方正仿宋_GBK" w:eastAsia="方正仿宋_GBK"/>
          <w:b/>
          <w:sz w:val="28"/>
          <w:lang w:val="en-US" w:eastAsia="zh-CN"/>
        </w:rPr>
        <w:t>林长制</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28"/>
        <w:gridCol w:w="1020"/>
        <w:gridCol w:w="1797"/>
        <w:gridCol w:w="2029"/>
        <w:gridCol w:w="657"/>
        <w:gridCol w:w="551"/>
        <w:gridCol w:w="1240"/>
        <w:gridCol w:w="3284"/>
        <w:gridCol w:w="2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林长制预算项目绩效表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13081122P00814710001X</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林长制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完成2022年林长制工作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林长制培训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林长制培训1次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完成林长制培训为优，未完成培训为扣分项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设置林长制公示牌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林长制公示牌设置完成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根据《承德市林长办公室关于规范设置林长制公示牌的通知》按时完成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及时完成公示牌设置为优，不能完成为扣分项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林长制工作巡林及时性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巡林是否及时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根据《承德市林长巡林工作制度（试行）》的要求，及时巡林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巡林工作及时完成为优，未能及时巡林为扣分项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根据《承德高新区全面推行林长制实施方案》，使资金在可控范围内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资金在可控范围内为优，超出资金可控范围为扣分项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发展林业产业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林业产业有所发展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林业产业有所发展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林业产业得到发展为优，反之为扣分项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增强对生态环境的保护意识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加强宣传，增强生态环境保护意识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增强生态环境保护意识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根据《承德高新区全面推行林长制实施方案》，加强宣传，增强生态环境保护意识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增强生态环境保护意识为优，反之为扣分项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生态环境保护修复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生态环境保护修复是否有效果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效果明显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生态环境保护修复有一定效果为优，反之为扣分项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森林资源可持续发展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森林资源可持续发展情况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可持续发展良好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根据《承德高新区全面推行林长制实施方案》，保持森林资源可持续发展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森林资源可持续发展情况良好为优，反之为扣分项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根据《承德高新区全面推行林长制实施方案》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服务对象满意度达到95%以为优，低于90%为扣分项</w:t>
            </w:r>
          </w:p>
        </w:tc>
      </w:tr>
    </w:tbl>
    <w:p>
      <w:pPr>
        <w:jc w:val="left"/>
        <w:rPr>
          <w:rFonts w:hint="eastAsia" w:ascii="方正仿宋_GBK" w:eastAsia="方正仿宋_GBK"/>
          <w:sz w:val="28"/>
        </w:rPr>
      </w:pPr>
    </w:p>
    <w:p>
      <w:pPr>
        <w:tabs>
          <w:tab w:val="left" w:pos="312"/>
        </w:tabs>
        <w:rPr>
          <w:rFonts w:ascii="方正仿宋_GBK" w:eastAsia="方正仿宋_GBK"/>
          <w:b/>
          <w:sz w:val="28"/>
        </w:rPr>
      </w:pPr>
      <w:r>
        <w:rPr>
          <w:rFonts w:hint="eastAsia" w:ascii="仿宋" w:hAnsi="仿宋" w:eastAsia="仿宋"/>
          <w:b/>
          <w:bCs/>
        </w:rPr>
        <w:t>17.</w:t>
      </w:r>
      <w:r>
        <w:rPr>
          <w:rFonts w:hint="eastAsia" w:ascii="方正仿宋_GBK" w:eastAsia="方正仿宋_GBK"/>
          <w:b/>
          <w:sz w:val="28"/>
          <w:lang w:val="en-US" w:eastAsia="zh-CN"/>
        </w:rPr>
        <w:t>农村供水工程专业化管护经费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41"/>
        <w:gridCol w:w="1046"/>
        <w:gridCol w:w="2005"/>
        <w:gridCol w:w="1801"/>
        <w:gridCol w:w="667"/>
        <w:gridCol w:w="440"/>
        <w:gridCol w:w="1494"/>
        <w:gridCol w:w="2114"/>
        <w:gridCol w:w="3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农村供水工程专业化管护经费预算项目绩效表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13081122P00812010001P</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农村供水工程专业化管护经费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保障群众饮水安全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督导检查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完成督导检查次数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按照承高管字【2020】32号文件要求，达到检查次数为优，反之为扣分项。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维修、检验检测设备质量情况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维修、检验检测设备质量情况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维修、检验检测设备达到合格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维修、检验检测设备达到合格为优，反之为扣分项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开展督导检查时间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每季度一次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达到督导检查次数为优，反之为扣分项。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成本控制10万内为优，反之为扣分项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保障正常饮水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保障正常饮水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保障正常饮水为优，反之为扣分项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公共服务水平提升情况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保障工作正常开展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工作开展顺利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工作开展顺利为优，反之为扣分项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节水效果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改善群众用水观念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改善群众用水观念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达到节水效果为优，反之为扣分项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改善饮水环境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饮水环境变好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饮水环境变好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饮水环境变好为优，反之为扣分项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按照承高管字【2020】32号文件要求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达到服务满意度为优。反之为扣分项</w:t>
            </w:r>
          </w:p>
        </w:tc>
      </w:tr>
    </w:tbl>
    <w:p>
      <w:pPr>
        <w:jc w:val="both"/>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18.</w:t>
      </w:r>
      <w:r>
        <w:rPr>
          <w:rFonts w:hint="eastAsia" w:ascii="方正仿宋_GBK" w:eastAsia="方正仿宋_GBK"/>
          <w:b/>
          <w:sz w:val="28"/>
        </w:rPr>
        <w:t xml:space="preserve"> </w:t>
      </w:r>
      <w:r>
        <w:rPr>
          <w:rFonts w:hint="eastAsia" w:ascii="方正仿宋_GBK" w:eastAsia="方正仿宋_GBK"/>
          <w:b/>
          <w:sz w:val="28"/>
          <w:lang w:val="en-US" w:eastAsia="zh-CN"/>
        </w:rPr>
        <w:t>农村人饮应急解困费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81"/>
        <w:gridCol w:w="1125"/>
        <w:gridCol w:w="2265"/>
        <w:gridCol w:w="2070"/>
        <w:gridCol w:w="697"/>
        <w:gridCol w:w="551"/>
        <w:gridCol w:w="1776"/>
        <w:gridCol w:w="1001"/>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农村人饮应急解困费预算项目绩效表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13081122P00812310001Q</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农村人饮应急解困费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解决饮水困难</w:t>
            </w:r>
            <w:r>
              <w:rPr>
                <w:rFonts w:hint="eastAsia" w:cs="Calibri"/>
                <w:i w:val="0"/>
                <w:iCs w:val="0"/>
                <w:color w:val="000000"/>
                <w:kern w:val="0"/>
                <w:sz w:val="22"/>
                <w:szCs w:val="22"/>
                <w:u w:val="none"/>
                <w:lang w:val="en-US" w:eastAsia="zh-CN" w:bidi="ar"/>
              </w:rPr>
              <w:t>群众</w:t>
            </w:r>
            <w:r>
              <w:rPr>
                <w:rFonts w:hint="default" w:ascii="Calibri" w:hAnsi="Calibri" w:eastAsia="宋体" w:cs="Calibri"/>
                <w:i w:val="0"/>
                <w:iCs w:val="0"/>
                <w:color w:val="000000"/>
                <w:kern w:val="0"/>
                <w:sz w:val="22"/>
                <w:szCs w:val="22"/>
                <w:u w:val="none"/>
                <w:lang w:val="en-US" w:eastAsia="zh-CN" w:bidi="ar"/>
              </w:rPr>
              <w:t>，提高供水保障率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农村人饮应急情况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完成农村人饮应急工程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完成农村人饮应急工程工作为优，反之为扣分项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农村人饮应急工程质量是否合格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确保百姓饮水安全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按时完成建设任务为优，反之为扣分项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控制成本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完成农村人饮应急工程工作，成本控制在预算范围内为优，反之为扣分项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提高群众节约用水社会影响力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节约用水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达到节约用水目的为优，反之为扣分项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加强节约利用，促进生态文明建设目的为优，反之为扣分项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及时了解水质情况，保障用水安全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及时了解水质情况保障用水安全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保障用水安全为优，反之为扣分项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群众满意度达到95%为优，低于90%为扣分项</w:t>
            </w: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19.</w:t>
      </w:r>
      <w:r>
        <w:rPr>
          <w:rFonts w:hint="eastAsia" w:ascii="方正仿宋_GBK" w:eastAsia="方正仿宋_GBK"/>
          <w:b/>
          <w:sz w:val="28"/>
        </w:rPr>
        <w:t xml:space="preserve"> </w:t>
      </w:r>
      <w:r>
        <w:rPr>
          <w:rFonts w:hint="eastAsia" w:ascii="方正仿宋_GBK" w:eastAsia="方正仿宋_GBK"/>
          <w:b/>
          <w:sz w:val="28"/>
          <w:lang w:val="en-US" w:eastAsia="zh-CN"/>
        </w:rPr>
        <w:t>农村饮水工程</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822"/>
        <w:gridCol w:w="1208"/>
        <w:gridCol w:w="2347"/>
        <w:gridCol w:w="2172"/>
        <w:gridCol w:w="728"/>
        <w:gridCol w:w="607"/>
        <w:gridCol w:w="1910"/>
        <w:gridCol w:w="1042"/>
        <w:gridCol w:w="28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农村饮水工程预算项目绩效表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13081122P00815310001E</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农村饮水工程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解决饮水困难群众，提高供水保障率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农村人饮应急情况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解决农村人饮应急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解决农村人饮应急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已解决农村人饮应急为优，反之为扣分项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质量是否合格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确保百姓饮水安全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确保百姓饮水安全为优，反之为扣分项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是否按时完成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控制成本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减少水资源浪费内为优，反之为扣分项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提高群众节约用水社会影响力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节约用水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提高群众节约用水社会影响力内为优，反之为扣分项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加强节约利用，促进生态文明建设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加强节约利用为优，反之为扣分项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及时了解水质情况，保障用水安全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及时了解水质情况保障用水安全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保障用水安全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保障用水安全为优，反之为扣分项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《抗旱条例》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群众满意度达到95%为优，反之为扣分项</w:t>
            </w:r>
          </w:p>
        </w:tc>
      </w:tr>
    </w:tbl>
    <w:p>
      <w:pPr>
        <w:jc w:val="both"/>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20.</w:t>
      </w:r>
      <w:r>
        <w:rPr>
          <w:rFonts w:hint="eastAsia" w:ascii="方正仿宋_GBK" w:eastAsia="方正仿宋_GBK"/>
          <w:b/>
          <w:sz w:val="28"/>
        </w:rPr>
        <w:t xml:space="preserve"> </w:t>
      </w:r>
      <w:r>
        <w:rPr>
          <w:rFonts w:hint="eastAsia" w:ascii="方正仿宋_GBK" w:eastAsia="方正仿宋_GBK"/>
          <w:b/>
          <w:sz w:val="28"/>
          <w:lang w:val="en-US" w:eastAsia="zh-CN"/>
        </w:rPr>
        <w:t>农民高级技师贴</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842"/>
        <w:gridCol w:w="1248"/>
        <w:gridCol w:w="2088"/>
        <w:gridCol w:w="1317"/>
        <w:gridCol w:w="743"/>
        <w:gridCol w:w="551"/>
        <w:gridCol w:w="1265"/>
        <w:gridCol w:w="2787"/>
        <w:gridCol w:w="2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农民高级技师贴预算项目绩效表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13081122P008146100018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农民高级技师贴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完成农民高级技师补贴发放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农民高级技师补贴人数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区域内补贴人数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完成3人补贴发放为优，反之为扣分项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促进全区林果产业的发展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促进林果业负责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促进负责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及时发放人才补贴资金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发放补贴及时率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及时发放为优，反之为扣分项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资金支付率达到100%支付为优，反之为扣分项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促进全区林果产业的质量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促进果品质量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帮助果农种植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起到帮助作用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帮助作用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起到帮助作用为优，反之为扣分项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鼓励农民发展种植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发展种植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带动作用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起到带动作用为优，反之为扣分项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持续提升种植业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提升种植业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依据承德市农村林果实用技术人才职评定及管理办法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起到提升作用为优，反之为扣分项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果农满意度比例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果农满意度比例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根据制定的工作计划，使居民的满意度达到95%以上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果农的满意度达到95%以为优，低于90%为扣分项</w:t>
            </w: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21.</w:t>
      </w:r>
      <w:r>
        <w:rPr>
          <w:rFonts w:hint="eastAsia" w:ascii="方正仿宋_GBK" w:eastAsia="方正仿宋_GBK"/>
          <w:b/>
          <w:sz w:val="28"/>
        </w:rPr>
        <w:t xml:space="preserve"> </w:t>
      </w:r>
      <w:r>
        <w:rPr>
          <w:rFonts w:hint="default" w:ascii="方正仿宋_GBK" w:eastAsia="方正仿宋_GBK"/>
          <w:b/>
          <w:sz w:val="28"/>
          <w:lang w:val="en-US" w:eastAsia="zh-CN"/>
        </w:rPr>
        <w:t>森林草原火灾风险普查</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25"/>
        <w:gridCol w:w="1014"/>
        <w:gridCol w:w="1993"/>
        <w:gridCol w:w="1585"/>
        <w:gridCol w:w="655"/>
        <w:gridCol w:w="718"/>
        <w:gridCol w:w="1234"/>
        <w:gridCol w:w="3361"/>
        <w:gridCol w:w="23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13081122P00814410001W</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森林草原火灾风险普查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摸清全市森林和草原火灾风险隐患底数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火灾风险普查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完成火灾风险普查次数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承德市森林和草原火灾风险普查实施方案，制定工作计划，完成火灾风险普查1次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完成火灾风险普查1次为优，反之为扣分项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调查隐患底数情况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调查隐患底数准确率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承德市森林和草原火灾风险普查实施方案，制定工作计划，隐患底数准确率达到98%以上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隐患底数准确率达到98%以上为优，低于90为扣分项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火灾风险普查情况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火灾风险普查及时率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承德市森林和草原火灾风险普查实施方案，制定工作计划，火灾风险普查100%及时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火灾风险普查100%及时为优，反之为扣分项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14.05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成本控制在预算范围内为优，其它适情况着情扣分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减少森林资源的损失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减少资源损失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减少资源损失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承德市森林和草原火灾风险普查实施方案，制定工作计划，减少森林资源的损失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减少森林资源的损失为优，反之为扣分项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提升国家自然灾害防治能力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查明重点区域抗灾能力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有效提升灾害防治能力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承德市森林和草原火灾风险普查实施方案，制定工作计划，有效提升灾害防治能力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有效提升灾害防治能力为优，反之为扣分项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减少森林火灾防治大气污染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承德市森林和草原火灾风险普查实施方案，制定工作计划，减少森林火灾防治大气污染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减少森林火灾防治大气污染为优，反之为扣分项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提供权威的风险信息及依据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保障社会经济可持续发展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社会经济可持续发展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承德市森林和草原火灾风险普查实施方案，制定工作计划，保障社会经济可持续发展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保障社会经济可持续发展为优，反之为扣分项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根据制定的工作计划，领导达到100%满意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22.</w:t>
      </w:r>
      <w:r>
        <w:rPr>
          <w:rFonts w:hint="eastAsia" w:ascii="方正仿宋_GBK" w:eastAsia="方正仿宋_GBK"/>
          <w:b/>
          <w:sz w:val="28"/>
        </w:rPr>
        <w:t xml:space="preserve"> </w:t>
      </w:r>
      <w:r>
        <w:rPr>
          <w:rFonts w:hint="eastAsia" w:ascii="方正仿宋_GBK" w:eastAsia="方正仿宋_GBK"/>
          <w:b/>
          <w:sz w:val="28"/>
          <w:lang w:val="en-US" w:eastAsia="zh-CN"/>
        </w:rPr>
        <w:t>森林防火视频会议系统及防火终端设备（对讲机）购置</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38"/>
        <w:gridCol w:w="1039"/>
        <w:gridCol w:w="2299"/>
        <w:gridCol w:w="2094"/>
        <w:gridCol w:w="664"/>
        <w:gridCol w:w="551"/>
        <w:gridCol w:w="1108"/>
        <w:gridCol w:w="2765"/>
        <w:gridCol w:w="23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森林防火视频会议系统及防火终端设备（对讲机）购置预算项目绩效表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13081122P008143100017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森林防火视频会议系统及防火终端设备（对讲机）购置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及时接收会议信号，保证会议正常召开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视频会议系统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安装视频会议系统</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完成安装视频会议系统为满分 ，未安装为扣分项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视频会议系统正常使用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视频会议系统质量检查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及时接通视频会议为满分，未及时接通为不合格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完成的及时性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视频会议系统及时完成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及时完成安装为满分，未完成为不合格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成本控制不超预算范围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安装视频会议系统在6万元以内为优，超出为不合格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提高工作效率为满分，反之为扣分项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维护社会稳定为满分，反之为扣分项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改善环境为满分，反之为扣分项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提高工作效率，资源共享、节约成本。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提高工作效率，资源共享、节约成本。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承德市森林和草原火灾局关于建设森林草原防火视频会议系统的通知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提高工作效率为满分，反之为扣分项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根据工作要求，完成此项工作，使领导达到满意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领导满意为优，低于90为扣分项</w:t>
            </w: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23.</w:t>
      </w:r>
      <w:r>
        <w:rPr>
          <w:rFonts w:hint="eastAsia" w:ascii="方正仿宋_GBK" w:eastAsia="方正仿宋_GBK"/>
          <w:b/>
          <w:sz w:val="28"/>
        </w:rPr>
        <w:t xml:space="preserve"> </w:t>
      </w:r>
      <w:r>
        <w:rPr>
          <w:rFonts w:hint="eastAsia" w:ascii="方正仿宋_GBK" w:eastAsia="方正仿宋_GBK"/>
          <w:b/>
          <w:sz w:val="28"/>
          <w:lang w:val="en-US" w:eastAsia="zh-CN"/>
        </w:rPr>
        <w:t>山洪灾害非工程措施项目运行维护管理费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69"/>
        <w:gridCol w:w="901"/>
        <w:gridCol w:w="1894"/>
        <w:gridCol w:w="2140"/>
        <w:gridCol w:w="613"/>
        <w:gridCol w:w="607"/>
        <w:gridCol w:w="1122"/>
        <w:gridCol w:w="3740"/>
        <w:gridCol w:w="1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山洪灾害非工程措施项目运行维护管理费预算项目绩效表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13081122P00816310001M</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山洪灾害非工程措施项目运行维护管理费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全区37个村进行运行维护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山洪灾害非工程措施项目运行维护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山洪灾害非工程措施项目运行维护覆盖村数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依据冀汛【2016】4号文件，根据文件制定工作计划，对全区37个村进行运行维护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完成37个村的项目运行维护为优，反之为扣分项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系统运行质量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系统运行质量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运行良好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依据冀汛【2016】4号文件，根据文件制定工作计划，对全区37个村进行运行维护，系统运行良好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系统运行良好为优，反之为扣分项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项目运行维护及时性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项目运行维护及时率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依据冀汛【2016】4号文件，根据文件制定工作计划，及时对全区37个村进行运行维护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保障项目运行维护及时为优，反之为扣分项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依据冀汛【2016】4号文件，根据文件制定工作计划，及时对全区37个村进行运行维护，成本控制在预算范围内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依据冀汛【2016】4号文件，根据文件制定工作计划，提前预知，减少灾害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做到提前预知，减少灾害为优，反之为扣分项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是否能保障汛期安全运行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保障汛期安全运行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依据冀汛【2016】4号文件，根据文件制定工作计划，保障汛期安全运行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保障汛期安全运行为优，反之为扣分项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加强汛期监检测能力</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保障系统正常运行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依据冀汛【2016】4号文件，根据文件制定工作计划，保障汛期监检测能力，保障系统安全运行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系统安全运行为优，反之为扣分项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是否能推动防汛事业长远发展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依据冀汛【2016】4号文件，根据文件制定工作计划，推动防汛事业长远发展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推动防汛事业长远发展为优，反之为扣分项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依据冀汛【2016】4号文件，根据文件制定工作计划，使领导100%满意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领导满意度达到100%为优，反之为扣分项</w:t>
            </w: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24.</w:t>
      </w:r>
      <w:r>
        <w:rPr>
          <w:rFonts w:hint="eastAsia" w:ascii="方正仿宋_GBK" w:eastAsia="方正仿宋_GBK"/>
          <w:b/>
          <w:sz w:val="28"/>
        </w:rPr>
        <w:t xml:space="preserve"> </w:t>
      </w:r>
      <w:r>
        <w:rPr>
          <w:rFonts w:hint="eastAsia" w:ascii="方正仿宋_GBK" w:eastAsia="方正仿宋_GBK"/>
          <w:b/>
          <w:sz w:val="28"/>
          <w:lang w:val="en-US" w:eastAsia="zh-CN"/>
        </w:rPr>
        <w:t>山洪灾害及防汛宣传</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49"/>
        <w:gridCol w:w="670"/>
        <w:gridCol w:w="1597"/>
        <w:gridCol w:w="1866"/>
        <w:gridCol w:w="672"/>
        <w:gridCol w:w="551"/>
        <w:gridCol w:w="1124"/>
        <w:gridCol w:w="3037"/>
        <w:gridCol w:w="3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山洪灾害及防汛宣传预算项目绩效表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13081122P00815910001G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山洪灾害及防汛宣传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山洪灾害及防汛宣传达到预期效果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山洪灾害及防汛宣传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宣传一次以上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按照制定的工作计划,按时完成山洪灾害的防汛宣传一次以上,达到工作要求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宣传一次以上为优，反之为扣分项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山洪灾害及防汛宣传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达到效果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达到预期成效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按照制定的工作计划,达到预期成效。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山洪灾害及防汛宣传达到效果，增加群众山洪灾害及防汛意识。反之为扣分项。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汛期前开展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按照工作计划，及时开展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按照制定的工作计划及时开展。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及时开展山洪灾害及防汛宣传为优，反之为扣分项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资本成本控制在预算范围内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资金在可控范围内为优，超出资金可控范围为扣分项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25.</w:t>
      </w:r>
      <w:r>
        <w:rPr>
          <w:rFonts w:hint="eastAsia" w:ascii="方正仿宋_GBK" w:eastAsia="方正仿宋_GBK"/>
          <w:b/>
          <w:sz w:val="28"/>
        </w:rPr>
        <w:t xml:space="preserve"> </w:t>
      </w:r>
      <w:r>
        <w:rPr>
          <w:rFonts w:hint="default" w:ascii="方正仿宋_GBK" w:eastAsia="方正仿宋_GBK"/>
          <w:b/>
          <w:sz w:val="28"/>
          <w:lang w:val="en-US" w:eastAsia="zh-CN"/>
        </w:rPr>
        <w:t>尚品花园防洪堤建设费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902"/>
        <w:gridCol w:w="1367"/>
        <w:gridCol w:w="1953"/>
        <w:gridCol w:w="2041"/>
        <w:gridCol w:w="788"/>
        <w:gridCol w:w="551"/>
        <w:gridCol w:w="1819"/>
        <w:gridCol w:w="1134"/>
        <w:gridCol w:w="3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Arial" w:hAnsi="Arial" w:eastAsia="宋体" w:cs="Arial"/>
                <w:i w:val="0"/>
                <w:iCs w:val="0"/>
                <w:color w:val="000000"/>
                <w:sz w:val="36"/>
                <w:szCs w:val="36"/>
                <w:u w:val="none"/>
              </w:rPr>
            </w:pPr>
            <w:r>
              <w:rPr>
                <w:rFonts w:hint="default" w:ascii="Arial" w:hAnsi="Arial" w:eastAsia="宋体" w:cs="Arial"/>
                <w:i w:val="0"/>
                <w:iCs w:val="0"/>
                <w:color w:val="000000"/>
                <w:kern w:val="0"/>
                <w:sz w:val="36"/>
                <w:szCs w:val="36"/>
                <w:u w:val="none"/>
                <w:lang w:val="en-US" w:eastAsia="zh-CN" w:bidi="ar"/>
              </w:rPr>
              <w:t>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eastAsia="宋体" w:cs="Arial"/>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13081122P008139100012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尚品花园防洪堤建设费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提高河道防洪标准，改善河道水生态环境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防洪堤建设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新建防洪堤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完成新建防洪堤为优，反之为扣分项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质量合格达到建设标准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达到建设标准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达到建设标准为优，反之为扣分项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完成建设任务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按规定时间完成建设任务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按规定时间完成建设任务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按规定时间完成建设任务为优，反之为扣分项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促进当地经济的发展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对促进当地经济的发展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促进当地经济的发展为优，反之为扣分项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具有明显的环境效益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环境效益显著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环境效益显著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环境效益显著为优，反之为扣分项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改善河道水生态环境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河道生态环境良好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河道生态环境良好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河道生态环境良好为优，反之为扣分项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有利于项目区内的社会稳定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有利于项目区内的社会稳定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有利于项目区内的社会稳定好为优，反之为扣分项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区主要领导交办</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服务满意度90%为优，反之为扣分项</w:t>
            </w:r>
          </w:p>
        </w:tc>
      </w:tr>
    </w:tbl>
    <w:p>
      <w:pPr>
        <w:jc w:val="left"/>
        <w:rPr>
          <w:rFonts w:hint="eastAsia" w:ascii="方正仿宋_GBK" w:eastAsia="方正仿宋_GBK"/>
          <w:sz w:val="28"/>
        </w:rPr>
      </w:pPr>
    </w:p>
    <w:p>
      <w:pPr>
        <w:rPr>
          <w:rFonts w:ascii="方正仿宋_GBK" w:eastAsia="方正仿宋_GBK"/>
          <w:b/>
          <w:sz w:val="28"/>
        </w:rPr>
      </w:pPr>
      <w:r>
        <w:rPr>
          <w:rFonts w:hint="eastAsia" w:ascii="仿宋" w:hAnsi="仿宋" w:eastAsia="仿宋"/>
          <w:b/>
          <w:bCs/>
        </w:rPr>
        <w:t>26.</w:t>
      </w:r>
      <w:r>
        <w:rPr>
          <w:rFonts w:hint="eastAsia" w:ascii="方正仿宋_GBK" w:eastAsia="方正仿宋_GBK"/>
          <w:b/>
          <w:sz w:val="28"/>
        </w:rPr>
        <w:t xml:space="preserve"> </w:t>
      </w:r>
      <w:r>
        <w:rPr>
          <w:rFonts w:hint="eastAsia" w:ascii="方正仿宋_GBK" w:eastAsia="方正仿宋_GBK"/>
          <w:b/>
          <w:sz w:val="28"/>
          <w:lang w:val="en-US" w:eastAsia="zh-CN"/>
        </w:rPr>
        <w:t>水库大坝安全鉴定费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57"/>
        <w:gridCol w:w="876"/>
        <w:gridCol w:w="1925"/>
        <w:gridCol w:w="1699"/>
        <w:gridCol w:w="603"/>
        <w:gridCol w:w="551"/>
        <w:gridCol w:w="986"/>
        <w:gridCol w:w="3815"/>
        <w:gridCol w:w="25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水库大坝安全鉴定费预算项目绩效表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13081122P008125100014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水库大坝安全鉴定费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完成白河南、天外水库大坝安全鉴定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水库大坝鉴定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大坝鉴定数量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承水建管函【2021】15号文件，根据文件要求，对白河南、天外两座水库进行大坝安全鉴定工作，成本控制在预算范围内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大坝安全鉴定工作，成本控制在预算范围内为优，反之为扣分项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大坝安全鉴定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承水建管函【2021】15号文件，根据文件要求，对白河南、天外两座水库进行大坝安全鉴定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完成2座水库的大坝安全鉴定为优，反之为扣分项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大坝鉴定工作完成情况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鉴定工作完成及时率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承水建管函【2021】15号文件，根据文件要求，对白河南、天外两座水库进行大坝安全鉴定，质量达到合格的标准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质量达到合格的标准为优，反之为扣分项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支付资金总成本控制在预算范围内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承水建管函【2021】15号文件，根据文件要求，及时完成对白河南、天外两座水库进行大坝安全鉴定工作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及时完成白河南、天外两座水库进行大坝安全鉴定工作为优，反之为扣分项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逐步了解水势变化及对防洪安全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减少人民财产损失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承水建管函【2021】15号文件，根据文件要求，制定工作计划，逐步了解水势变化及对防洪安全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逐步了解水势变化及对防洪安全为优，反之为扣分项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确保大坝安全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洪涝灾害损失减少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减少人民财产损失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承水建管函【2021】15号文件，根据文件要求，制定工作计划，确保汛期安全，减少下游人民财产损失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减少下游人民财产损失为优，反之为扣分项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洪涝灾害损失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洪涝灾害损失减少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承水建管函【2021】15号文件，根据文件要求，对白河南、天外两座水库进行大坝安全鉴定，减少洪涝灾害损失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减少洪涝灾害损失为优，反之为扣分项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承水建管函【2021】15号文件，根据文件要求，对白河南、天外两座水库进行大坝安全鉴定，改善生态环境质量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承水建管函【2021】15号文件，根据文件要求，对白河南、天外两座水库进行大坝安全鉴定，群众满意度达到85%以上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群众满意度达到85%以上为优，低于80为扣分项</w:t>
            </w:r>
          </w:p>
        </w:tc>
      </w:tr>
    </w:tbl>
    <w:p>
      <w:pPr>
        <w:rPr>
          <w:rFonts w:hint="eastAsia" w:ascii="仿宋" w:hAnsi="仿宋" w:eastAsia="仿宋"/>
          <w:b/>
          <w:bCs/>
        </w:rPr>
      </w:pPr>
    </w:p>
    <w:p>
      <w:pPr>
        <w:rPr>
          <w:rFonts w:ascii="方正仿宋_GBK" w:eastAsia="方正仿宋_GBK"/>
          <w:b/>
          <w:sz w:val="28"/>
        </w:rPr>
      </w:pPr>
      <w:r>
        <w:rPr>
          <w:rFonts w:hint="eastAsia" w:ascii="仿宋" w:hAnsi="仿宋" w:eastAsia="仿宋"/>
          <w:b/>
          <w:bCs/>
        </w:rPr>
        <w:t>27.</w:t>
      </w:r>
      <w:r>
        <w:rPr>
          <w:rFonts w:hint="eastAsia" w:ascii="方正仿宋_GBK" w:eastAsia="方正仿宋_GBK"/>
          <w:b/>
          <w:sz w:val="28"/>
        </w:rPr>
        <w:t xml:space="preserve"> </w:t>
      </w:r>
      <w:r>
        <w:rPr>
          <w:rFonts w:hint="eastAsia" w:ascii="方正仿宋_GBK" w:eastAsia="方正仿宋_GBK"/>
          <w:b/>
          <w:sz w:val="28"/>
          <w:lang w:val="en-US" w:eastAsia="zh-CN"/>
        </w:rPr>
        <w:t>水库雨水情测报及安全监测</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13"/>
        <w:gridCol w:w="988"/>
        <w:gridCol w:w="2053"/>
        <w:gridCol w:w="1765"/>
        <w:gridCol w:w="645"/>
        <w:gridCol w:w="551"/>
        <w:gridCol w:w="1070"/>
        <w:gridCol w:w="2977"/>
        <w:gridCol w:w="2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水库雨水情测报及安全监测预算项目绩效表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13081122P00815610001F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水库雨水情测报及安全监测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按时水库雨水情测报及安全监测项目，保障水库行洪安全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雨水情测报及安全监测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完成雨水情测报及监测水库数量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完成2座水库的大坝安全鉴定为优，反之为扣分项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监测鉴定数据准确性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以第三方出具的鉴定报告为依据</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质量达到合格的标准为优，反之为扣分项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雨水情测报及监测情况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雨水情测报及监测及时率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测报及监测及时为满分，反之为扣分项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项目总成本控制在预算范围内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雨水情测报及安全监测工作，成本控制在预算范围内为优，反之为扣分项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逐步了解水势变化及对防洪安全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逐步了解水势变化及对防洪安全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防洪安全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逐步了解水势变化及对防洪安全为优，反之为扣分项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确保大坝安全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减少下游人民财产损失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减少人民财产损失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减少下游人民财产损失为优，反之为扣分项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洪涝灾害损失</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洪涝灾害损失减少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洪涝灾害损失减少</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减少洪涝灾害损失为优，反之为扣分项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河北省水利厅关于做好2021年度小型水库雨水情测报和安全监测设施实施的通知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群众满意度达到85%以上为优，低于80为扣分项</w:t>
            </w:r>
          </w:p>
        </w:tc>
      </w:tr>
    </w:tbl>
    <w:p>
      <w:pPr>
        <w:jc w:val="left"/>
        <w:rPr>
          <w:rFonts w:hint="eastAsia" w:ascii="方正仿宋_GBK" w:eastAsia="方正仿宋_GBK"/>
          <w:sz w:val="28"/>
        </w:rPr>
      </w:pPr>
    </w:p>
    <w:p>
      <w:pPr>
        <w:jc w:val="left"/>
        <w:rPr>
          <w:rFonts w:hint="eastAsia" w:ascii="方正仿宋_GBK" w:eastAsia="方正仿宋_GBK"/>
          <w:sz w:val="28"/>
          <w:lang w:val="en-US" w:eastAsia="zh-CN"/>
        </w:rPr>
      </w:pPr>
      <w:r>
        <w:rPr>
          <w:rFonts w:hint="eastAsia" w:ascii="方正仿宋_GBK" w:eastAsia="方正仿宋_GBK"/>
          <w:b/>
          <w:sz w:val="28"/>
          <w:lang w:val="en-US" w:eastAsia="zh-CN"/>
        </w:rPr>
        <w:t>28</w:t>
      </w:r>
      <w:r>
        <w:rPr>
          <w:rFonts w:hint="eastAsia" w:ascii="方正仿宋_GBK" w:eastAsia="方正仿宋_GBK"/>
          <w:sz w:val="28"/>
          <w:lang w:val="en-US" w:eastAsia="zh-CN"/>
        </w:rPr>
        <w:t>.</w:t>
      </w:r>
      <w:r>
        <w:rPr>
          <w:rFonts w:hint="eastAsia" w:ascii="方正仿宋_GBK" w:eastAsia="方正仿宋_GBK"/>
          <w:b/>
          <w:sz w:val="28"/>
          <w:lang w:val="en-US" w:eastAsia="zh-CN"/>
        </w:rPr>
        <w:t>水库专业化管护经费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81"/>
        <w:gridCol w:w="1126"/>
        <w:gridCol w:w="1873"/>
        <w:gridCol w:w="2360"/>
        <w:gridCol w:w="697"/>
        <w:gridCol w:w="607"/>
        <w:gridCol w:w="1174"/>
        <w:gridCol w:w="2248"/>
        <w:gridCol w:w="27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水库专业化管护经费预算项目绩效表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13081122P00815510001R</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水库专业化管护经费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解决饮水困难</w:t>
            </w:r>
            <w:r>
              <w:rPr>
                <w:rFonts w:hint="eastAsia" w:cs="Calibri"/>
                <w:i w:val="0"/>
                <w:iCs w:val="0"/>
                <w:color w:val="000000"/>
                <w:kern w:val="0"/>
                <w:sz w:val="22"/>
                <w:szCs w:val="22"/>
                <w:u w:val="none"/>
                <w:lang w:val="en-US" w:eastAsia="zh-CN" w:bidi="ar"/>
              </w:rPr>
              <w:t>群众</w:t>
            </w:r>
            <w:r>
              <w:rPr>
                <w:rFonts w:hint="default" w:ascii="Calibri" w:hAnsi="Calibri" w:eastAsia="宋体" w:cs="Calibri"/>
                <w:i w:val="0"/>
                <w:iCs w:val="0"/>
                <w:color w:val="000000"/>
                <w:kern w:val="0"/>
                <w:sz w:val="22"/>
                <w:szCs w:val="22"/>
                <w:u w:val="none"/>
                <w:lang w:val="en-US" w:eastAsia="zh-CN" w:bidi="ar"/>
              </w:rPr>
              <w:t>，提高供水保障率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水库专业化管护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水库专业化管护数量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依据承市政办字【2021】50号文件要求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按照合同要求，完成维修养护为优，未完成为扣分项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水库维修养护质量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水库维修养护是否合格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依据承市政办字【2021】51号文件要求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质量合格为优，不合格为扣分项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水库维修养护及时性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水库维修养护及时率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依据承市政办字【2021】52号文件要求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水库维修养护及时为优，未及时完成为扣分项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成本控制在合同价内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依据承市政办字【2021】53号文件要求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成本控制在合同范围内为优，超出合同价为扣分项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水库安全情况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保障水库汛期安全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依据承市政办字【2021】54号文件要求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水库汛期安全为优，反之为扣分项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水库下游人民群众有所保障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保障水库下游人民群众生命、财产安全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依据承市政办字【2021】55号文件要求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人民群众生命财产得到保障为优，不能得到保障为扣分项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生态环境质量改善情况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生态环境质量是否有改善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依据承市政办字【2021】56号文件要求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持续提升视频监测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长期的监测，确保水库安全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确保水库安全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依据承市政办字【2021】57号文件要求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确保水库安全为优，反之为扣分项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依据承市政办字【2021】58号文件要求</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领导达到满意为优，未达到满意为扣分项</w:t>
            </w:r>
          </w:p>
        </w:tc>
      </w:tr>
    </w:tbl>
    <w:p>
      <w:pPr>
        <w:jc w:val="left"/>
        <w:rPr>
          <w:rFonts w:hint="default"/>
          <w:lang w:val="en-US" w:eastAsia="zh-CN"/>
        </w:rPr>
      </w:pPr>
      <w:r>
        <w:rPr>
          <w:rFonts w:hint="eastAsia"/>
          <w:lang w:val="en-US" w:eastAsia="zh-CN"/>
        </w:rPr>
        <w:t>29.</w:t>
      </w:r>
      <w:r>
        <w:rPr>
          <w:rFonts w:hint="eastAsia" w:ascii="方正仿宋_GBK" w:eastAsia="方正仿宋_GBK"/>
          <w:b/>
          <w:sz w:val="28"/>
          <w:lang w:val="en-US" w:eastAsia="zh-CN"/>
        </w:rPr>
        <w:t>水利规划设计费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99"/>
        <w:gridCol w:w="960"/>
        <w:gridCol w:w="1597"/>
        <w:gridCol w:w="2357"/>
        <w:gridCol w:w="634"/>
        <w:gridCol w:w="551"/>
        <w:gridCol w:w="1049"/>
        <w:gridCol w:w="2756"/>
        <w:gridCol w:w="30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水利规划设计费预算项目绩效表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13081122P00813010001Y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水利规划设计费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按照要求 完成各项目的规划设计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按照制定工作计划,立项项目及时完成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项目完成率达到100%为优，反之为扣分项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规划设计项目报告合格率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规划设计 项目报告合格率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按照制定工作计划,审计项目报告合格率为100%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审计项目报告合格率达到100%为优，反之为扣分项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项目规划设计情况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完成单位项目规划设计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按照单位立项审计工作计划,完成项目的审计工作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100%完成单位项目立项审工作为优，反之为扣分项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按照单位立项审计工作计划,成本控制在预算范围内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总成本控制在预算范围内为优，反之为扣分项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在区产生重要影响，得到广大群众的充分认可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根据制定的工作计划,立项的项目在区产生重要影响,得到广大群众的充分认可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在区产生重要影响，得到广大群众的充分认可率达到90%以上为优，反之为扣分项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达到规划设计预期指标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达到预期指标百分比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 制定的工作计划,实际完成的工作进度达到预期指标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达到预期指标90%以上为优，反之为扣分项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规划设计发挥作用情况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更快、更好的完成工作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提高工作完成速度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 制定的工作计划,更快、更好的完成工作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更快、更好的完成工作为优，反之为扣分项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 制定的工作计划,更快、更好的完成工作，改善生态环境质量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根据制定的工作计划,第三方按时完成要求的工作,满意度非常高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bl>
    <w:p>
      <w:pPr>
        <w:jc w:val="left"/>
        <w:rPr>
          <w:rFonts w:hint="default" w:ascii="方正仿宋_GBK" w:eastAsia="方正仿宋_GBK"/>
          <w:sz w:val="28"/>
          <w:lang w:val="en-US" w:eastAsia="zh-CN"/>
        </w:rPr>
      </w:pPr>
      <w:r>
        <w:rPr>
          <w:rFonts w:hint="eastAsia" w:ascii="方正仿宋_GBK" w:eastAsia="方正仿宋_GBK"/>
          <w:b/>
          <w:sz w:val="28"/>
          <w:lang w:val="en-US" w:eastAsia="zh-CN"/>
        </w:rPr>
        <w:t>30.水利科技推广及水利安全生产、节约用水学习宣传费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02"/>
        <w:gridCol w:w="967"/>
        <w:gridCol w:w="2678"/>
        <w:gridCol w:w="1623"/>
        <w:gridCol w:w="637"/>
        <w:gridCol w:w="440"/>
        <w:gridCol w:w="1387"/>
        <w:gridCol w:w="3068"/>
        <w:gridCol w:w="2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水利科技推广及水利安全生产、节约用水学习宣传费预算项目绩效表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13081122P00812710001F</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水利科技推广及水利安全生产、节约用水学习宣传费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加强水利科技推广及水利安全生产、节约用水学习宣传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水利科技推广及水利安全生产、节约用水学习宣工作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宣传、学习完成情况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按照要求完成学习和宣传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宣传、学习完成较好为优，反之为扣分项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达到宣传、学习目的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更好达到宣传、学习目的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达到宣传、学习目的为优，反之为扣分项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按时完成宣传工作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及时完成宣传工作为优，反之为扣分项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控制成本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控制在成本之内为优，反之为扣分项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节约用水思想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提高群众节约用水思想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提高群众节约用水思想</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提高节水思想为优，反之为扣分项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加强安全意识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提高群众安全意识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提高群众安全意识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提高群众安全意识为优，反之为扣分项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水利科技推广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保护水资源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促进生态平衡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保护水资源，促进生态平衡为优，反之为扣分项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改善安全生产、节约用水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改善安全生产、节约用水情况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改善安全生产、节约用水情况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改善安全生产、节约用水情况为优，反之为扣分项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eastAsia" w:cs="Calibri"/>
                <w:i w:val="0"/>
                <w:iCs w:val="0"/>
                <w:color w:val="000000"/>
                <w:kern w:val="0"/>
                <w:sz w:val="22"/>
                <w:szCs w:val="22"/>
                <w:u w:val="none"/>
                <w:lang w:val="en-US" w:eastAsia="zh-CN" w:bidi="ar"/>
              </w:rPr>
              <w:t>《中华人民共和国安全生产法》</w:t>
            </w:r>
            <w:r>
              <w:rPr>
                <w:rFonts w:hint="default" w:ascii="Calibri" w:hAnsi="Calibri" w:eastAsia="宋体" w:cs="Calibri"/>
                <w:i w:val="0"/>
                <w:iCs w:val="0"/>
                <w:color w:val="000000"/>
                <w:kern w:val="0"/>
                <w:sz w:val="22"/>
                <w:szCs w:val="22"/>
                <w:u w:val="none"/>
                <w:lang w:val="en-US" w:eastAsia="zh-CN" w:bidi="ar"/>
              </w:rPr>
              <w:t>、《中华人民共和国水法》、《水资源管理条例》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达到群众满意度为优，反之为扣分项</w:t>
            </w:r>
          </w:p>
        </w:tc>
      </w:tr>
    </w:tbl>
    <w:p>
      <w:pPr>
        <w:jc w:val="left"/>
        <w:rPr>
          <w:rFonts w:hint="eastAsia" w:ascii="方正仿宋_GBK" w:eastAsia="方正仿宋_GBK"/>
          <w:sz w:val="28"/>
          <w:lang w:val="en-US" w:eastAsia="zh-CN"/>
        </w:rPr>
      </w:pPr>
      <w:r>
        <w:rPr>
          <w:rFonts w:hint="eastAsia" w:ascii="方正仿宋_GBK" w:eastAsia="方正仿宋_GBK"/>
          <w:b/>
          <w:sz w:val="28"/>
          <w:lang w:val="en-US" w:eastAsia="zh-CN"/>
        </w:rPr>
        <w:t>31.天保护林员意外伤害保险</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66"/>
        <w:gridCol w:w="1096"/>
        <w:gridCol w:w="1833"/>
        <w:gridCol w:w="1766"/>
        <w:gridCol w:w="685"/>
        <w:gridCol w:w="551"/>
        <w:gridCol w:w="1398"/>
        <w:gridCol w:w="3020"/>
        <w:gridCol w:w="25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天保护林员意外伤害保险预算项目绩效表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13081122P004AUT10002Y</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天保护林员意外伤害保险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保障林业资源减少损失，保障护林员人身安全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人身意外保险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投保人数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完成89人投保为优秀，未完成为扣分项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出险率质量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发生险情及时出险、理培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发生险情及时出险、理培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发生险情及时出险、理培为优，反之为扣分项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林业保险及时性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林业保险及时率达到100%为优，反之为扣分项%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资金成本控制在2万内为优，超出为扣分项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加大宣传力度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加大宣传旅团保证全区林地安全为优，反之为扣分项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保障人民生命财产安全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保障人民生命财产安全为优，反之为扣分项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生态健康良性发展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打造健康良性发展为优，反之为扣分项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打造健康持续的生态文明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保证全区林地安全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持续打造生态文明建设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国家林业和草原局关于印发《乡村护林（草）员管理办法》的通知</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持续打造生态文明建设为优，反之为扣分项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根据制定的工作计划，使领导达到100%满意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bl>
    <w:p>
      <w:pPr>
        <w:jc w:val="left"/>
        <w:rPr>
          <w:rFonts w:hint="eastAsia" w:ascii="方正仿宋_GBK" w:eastAsia="方正仿宋_GBK"/>
          <w:sz w:val="28"/>
          <w:lang w:val="en-US" w:eastAsia="zh-CN"/>
        </w:rPr>
      </w:pPr>
      <w:r>
        <w:rPr>
          <w:rFonts w:hint="eastAsia" w:ascii="方正仿宋_GBK" w:eastAsia="方正仿宋_GBK"/>
          <w:b/>
          <w:sz w:val="28"/>
          <w:lang w:val="en-US" w:eastAsia="zh-CN"/>
        </w:rPr>
        <w:t>32.委托业务费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47"/>
        <w:gridCol w:w="1058"/>
        <w:gridCol w:w="1543"/>
        <w:gridCol w:w="2571"/>
        <w:gridCol w:w="672"/>
        <w:gridCol w:w="551"/>
        <w:gridCol w:w="1123"/>
        <w:gridCol w:w="2829"/>
        <w:gridCol w:w="25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委托业务费预算项目绩效表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13081122P00813210001A</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委托业务费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完成本单位审计、项目立项工作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项目完成率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根据实际工作需要，制定工作计划，立项项目及时完成</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立项项目及时完成为优，反之为扣分项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审计项目报告合格率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 xml:space="preserve"> 审计项目报告合格率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根据实际工作需要，制定工作计划，审计项目报告合格率为100%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审计项目报告合格率为100%为优，反之为扣分项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项目立项审计情况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完成单位立项审计工作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根据实际工作需要，制定工作计划完成单位立项审计工作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完成单位立项审计工作为优，反之为扣分项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项目总成本控制在预算范围内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达到立项预期指标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立项预期指标达标率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根据实际工作需要，制定工作计划，立项预期指标达标率达到100%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立项预期指标达标率达到100%为优，低于90%为扣分项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在区产生重要影响，得到广大群众的充分认可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根据实际工作需要，制定工作计划，得到广大群众的充分认可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得到广大群众的充分认可为优，反之为扣分项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改善生态环境质量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根据实际工作需要，制定工作计划，生态环境质量得到改善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生态环境质量得到改善为优，反之为扣分项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项目发挥作用情况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更快，更好的完成工作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提高工作完成速度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根据实际工作需要，制定工作计划更快，更好的完成工作</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更快，更好的完成工作为优，反之为扣分项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根据实际工作需要，制定工作计划，领导满意度达到100%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领导满意度达到100%为优，低于90为扣分项</w:t>
            </w:r>
          </w:p>
        </w:tc>
      </w:tr>
    </w:tbl>
    <w:p>
      <w:pPr>
        <w:jc w:val="left"/>
        <w:rPr>
          <w:rFonts w:hint="eastAsia" w:ascii="方正仿宋_GBK" w:eastAsia="方正仿宋_GBK"/>
          <w:sz w:val="28"/>
          <w:lang w:val="en-US" w:eastAsia="zh-CN"/>
        </w:rPr>
      </w:pPr>
      <w:r>
        <w:rPr>
          <w:rFonts w:hint="eastAsia" w:ascii="方正仿宋_GBK" w:eastAsia="方正仿宋_GBK"/>
          <w:b/>
          <w:sz w:val="28"/>
          <w:lang w:val="en-US" w:eastAsia="zh-CN"/>
        </w:rPr>
        <w:t>33.橡胶坝建设费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895"/>
        <w:gridCol w:w="1353"/>
        <w:gridCol w:w="1746"/>
        <w:gridCol w:w="2116"/>
        <w:gridCol w:w="782"/>
        <w:gridCol w:w="663"/>
        <w:gridCol w:w="1908"/>
        <w:gridCol w:w="1238"/>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橡胶坝建设费预算项目绩效表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13081122P00813510001B</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橡胶坝建设费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解决饮水困难</w:t>
            </w:r>
            <w:r>
              <w:rPr>
                <w:rFonts w:hint="eastAsia" w:cs="Calibri"/>
                <w:i w:val="0"/>
                <w:iCs w:val="0"/>
                <w:color w:val="000000"/>
                <w:kern w:val="0"/>
                <w:sz w:val="22"/>
                <w:szCs w:val="22"/>
                <w:u w:val="none"/>
                <w:lang w:val="en-US" w:eastAsia="zh-CN" w:bidi="ar"/>
              </w:rPr>
              <w:t>群众</w:t>
            </w:r>
            <w:r>
              <w:rPr>
                <w:rFonts w:hint="default" w:ascii="Calibri" w:hAnsi="Calibri" w:eastAsia="宋体" w:cs="Calibri"/>
                <w:i w:val="0"/>
                <w:iCs w:val="0"/>
                <w:color w:val="000000"/>
                <w:kern w:val="0"/>
                <w:sz w:val="22"/>
                <w:szCs w:val="22"/>
                <w:u w:val="none"/>
                <w:lang w:val="en-US" w:eastAsia="zh-CN" w:bidi="ar"/>
              </w:rPr>
              <w:t>，提高供水保障率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橡胶坝正常蓄水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清淤、电力配套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橡胶坝（座）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清淤、电力配套完成为优，反之为扣分项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质量达到标准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质量合格为优，反之为扣分项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按时完成建设任务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是否按时完成建设任务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按时完成建设任务为优，反之为扣分项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控制成本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经济效果显著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促进当地经济的发展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对促进当地经济的发展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促进当地经济的发展为优，反之为扣分项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具有明显的环境效益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环境效益显著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环境效益显著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环境效益显著为优，反之为扣分项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改善河道水生态环境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河道生态环境良好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河道生态环境良好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河道生态环境良好为优，反之为扣分项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有利于项目区内的社会稳定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有利于项目区内的社会稳定</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有利于项目区内的社会稳定为优，反之为扣分项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市委主要领导交办</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事项提示函</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服务满意度高于90%为优，反之为扣分项</w:t>
            </w:r>
          </w:p>
        </w:tc>
      </w:tr>
    </w:tbl>
    <w:p>
      <w:pPr>
        <w:jc w:val="left"/>
        <w:rPr>
          <w:rFonts w:hint="eastAsia" w:ascii="方正仿宋_GBK" w:eastAsia="方正仿宋_GBK"/>
          <w:sz w:val="28"/>
          <w:lang w:val="en-US" w:eastAsia="zh-CN"/>
        </w:rPr>
      </w:pPr>
      <w:r>
        <w:rPr>
          <w:rFonts w:hint="eastAsia" w:ascii="方正仿宋_GBK" w:eastAsia="方正仿宋_GBK"/>
          <w:b/>
          <w:sz w:val="28"/>
          <w:lang w:val="en-US" w:eastAsia="zh-CN"/>
        </w:rPr>
        <w:t>34.橡胶坝运行管护费</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43"/>
        <w:gridCol w:w="848"/>
        <w:gridCol w:w="1706"/>
        <w:gridCol w:w="1868"/>
        <w:gridCol w:w="592"/>
        <w:gridCol w:w="551"/>
        <w:gridCol w:w="965"/>
        <w:gridCol w:w="4031"/>
        <w:gridCol w:w="24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橡胶坝运行管护费预算项目绩效表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13081122P00813810001C</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橡胶坝运行管护费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解决饮水困难</w:t>
            </w:r>
            <w:r>
              <w:rPr>
                <w:rFonts w:hint="eastAsia" w:cs="Calibri"/>
                <w:i w:val="0"/>
                <w:iCs w:val="0"/>
                <w:color w:val="000000"/>
                <w:kern w:val="0"/>
                <w:sz w:val="22"/>
                <w:szCs w:val="22"/>
                <w:u w:val="none"/>
                <w:lang w:val="en-US" w:eastAsia="zh-CN" w:bidi="ar"/>
              </w:rPr>
              <w:t>群众</w:t>
            </w:r>
            <w:r>
              <w:rPr>
                <w:rFonts w:hint="default" w:ascii="Calibri" w:hAnsi="Calibri" w:eastAsia="宋体" w:cs="Calibri"/>
                <w:i w:val="0"/>
                <w:iCs w:val="0"/>
                <w:color w:val="000000"/>
                <w:kern w:val="0"/>
                <w:sz w:val="22"/>
                <w:szCs w:val="22"/>
                <w:u w:val="none"/>
                <w:lang w:val="en-US" w:eastAsia="zh-CN" w:bidi="ar"/>
              </w:rPr>
              <w:t>，提高供水保障率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运行维护情况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运行维护历史欠账金额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河北省承德市双桥区人民法院民事调解书（2016）冀0802民初127号,橡胶坝运行维护按照要求时间偿还历史欠帐96万元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按时偿还历史欠帐250万元为优，反之为扣分项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历史欠账完成情况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及时完成历史欠账清还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河北省承德市双桥区人民法院民事调解书（2016）冀0802民初127号,橡胶坝运行维护按照要求时间100%及时支付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历史欠账100%及时支付为优，反之为扣分项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橡胶坝运行维护的支付情况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橡胶坝运行维护支付率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河北省承德市双桥区人民法院民事调解书（2016）冀0802民初127号,橡胶坝运行维护按照要求时间100%及时支付</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历史欠账100%及时支付为优，反之为扣分项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河北省承德市双桥区人民法院民事调解书（2016）冀0802民初127号,偿还欠账成本控制在预算范围内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偿还欠账成本控制在预算范围内为优，反之为扣分项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社会影响率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由于正常支付,橡胶坝恢复正常运行维护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河北省承德市双桥区人民法院民事调解书（2016）冀0802民初127号,及时支付橡胶坝维护费，橡胶坝恢复正常运行，使生态环境得到改善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由于正常支付,橡胶坝恢复正常运行维护，环境得到改善为优，反之为扣分项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改善水质，促进可持续发展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改善水质，促进可持续发展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改善河道水质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根据制定工作计划，改善水质，促进可持续发展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改善水质，促进可持续发展为优，反之为扣分项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改善水环境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水环境改善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根据制定工作计划，水环境得到改善</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水环境改善为优，反之为扣分项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改善生态环境提升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根据制定工作计划，水环境得到改善，生态环境得到提升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生态环境提升为优，反之为扣分项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服务对象的满意度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河北省承德市双桥区人民法院民事调解书（2016）冀0802民初127号,及时支付橡胶坝运行维护费,原告方达到100%满意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原告方达到100%满意为优，反之为扣分项</w:t>
            </w:r>
          </w:p>
        </w:tc>
      </w:tr>
    </w:tbl>
    <w:p>
      <w:pPr>
        <w:jc w:val="left"/>
        <w:rPr>
          <w:rFonts w:hint="eastAsia" w:ascii="方正仿宋_GBK" w:eastAsia="方正仿宋_GBK"/>
          <w:sz w:val="28"/>
          <w:lang w:val="en-US" w:eastAsia="zh-CN"/>
        </w:rPr>
      </w:pPr>
      <w:r>
        <w:rPr>
          <w:rFonts w:hint="eastAsia" w:ascii="方正仿宋_GBK" w:eastAsia="方正仿宋_GBK"/>
          <w:b/>
          <w:sz w:val="28"/>
          <w:lang w:val="en-US" w:eastAsia="zh-CN"/>
        </w:rPr>
        <w:t>35.野生动物保护</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656"/>
        <w:gridCol w:w="876"/>
        <w:gridCol w:w="1739"/>
        <w:gridCol w:w="1958"/>
        <w:gridCol w:w="603"/>
        <w:gridCol w:w="551"/>
        <w:gridCol w:w="1041"/>
        <w:gridCol w:w="3883"/>
        <w:gridCol w:w="2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野生动物保护预算项目绩效表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13081122P00814210001H</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野生动物保护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加强陆生野生动物的保护和管控及名录编制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编制保护名录</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编制保护名录数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套</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河北省林业和草原局关于进一步加强陆生野生动物管控的通知，做好陆生野生动物保护名录的编制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完成陆生野生动物保护名录的编制1套为优，反之为扣分项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陆生野生动物保护覆盖情况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加强陆生野生动物的保护和管控覆盖范围</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河北省林业和草原局关于进一步加强陆生野生动物管控的通知，根据实际需要制定的工作计划，加强全区38个村的保护和管控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加强全区38个村陆、野生动物的保护和管控为优的，反之为扣分项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工作任务完成及时率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保护名录完成及时率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河北省林业和草原局关于进一步加强陆生野生动物管控的通知，及时完成陆生野生动物保护名录的编制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及时完成陆生野生动物保护名录的编制为优，反之为扣分项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河北省林业和草原局关于进一步加强陆生野生动物管控的通知，根据实际需要制定工作计划，把资金成本控制在预算范围内</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资金成本控制在预算范围内为优，反之为扣分项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隐患消除情况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加强野生动物保护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降低猎捕隐患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河北省林业和草原局关于进一步加强陆生野生动物管控的通知，根据实际需要制定工作计划，保障陆生野生动物系统良性循环，消除隐患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保障陆生野生动物系统良性循环为优，反之为扣分项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加强野生动物保护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促进陆生野生动物资源的合理开发利用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资源的合理开发利用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河北省林业和草原局关于进一步加强陆生野生动物管控的通知，根据实际需要制定工作计划，促进陆生野生动物资源的合理开发利用</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加强野生动物保护，降低猎捕隐患为优，反之为扣分项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加强野生动物保护和管控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恢复陆生野生动物多样性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恢复多样性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河北省林业和草原局关于进一步加强陆生野生动物管控的通知，根据实际需要制定工作计划，加强野生动物保护恢复陆生野生动物多样性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促进陆生野生动物资源的合理开发利用为优，反之为扣分项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陆生野生动物系统良性循环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对当前的保护工作意义重大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良性循环意义重大</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河北省林业和草原局关于进一步加强陆生野生动物管控的通知，根据实际需要制定工作计划，保障陆生野生动物系统良性循环，消除隐患</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恢复陆生野生动物多样性为优，反之为扣分项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根据文件要求，制定工作计划，使领导达到100%满意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领导100%满意为优，低于90%为扣分项</w:t>
            </w:r>
          </w:p>
        </w:tc>
      </w:tr>
    </w:tbl>
    <w:p>
      <w:pPr>
        <w:pStyle w:val="2"/>
        <w:numPr>
          <w:ilvl w:val="0"/>
          <w:numId w:val="0"/>
        </w:numPr>
        <w:rPr>
          <w:rFonts w:hint="eastAsia" w:ascii="方正仿宋_GBK" w:eastAsia="方正仿宋_GBK"/>
          <w:b/>
          <w:sz w:val="28"/>
        </w:rPr>
      </w:pPr>
      <w:r>
        <w:rPr>
          <w:rFonts w:hint="eastAsia" w:ascii="方正仿宋_GBK" w:eastAsia="方正仿宋_GBK"/>
          <w:b/>
          <w:sz w:val="28"/>
          <w:lang w:val="en-US" w:eastAsia="zh-CN"/>
        </w:rPr>
        <w:t>35、植被恢复费造林及2021年人居环境整治村庄绿化</w:t>
      </w:r>
      <w:r>
        <w:rPr>
          <w:rFonts w:hint="eastAsia" w:ascii="方正仿宋_GBK" w:eastAsia="方正仿宋_GBK"/>
          <w:b/>
          <w:sz w:val="28"/>
        </w:rPr>
        <w:t>绩效目标表</w:t>
      </w:r>
    </w:p>
    <w:tbl>
      <w:tblPr>
        <w:tblStyle w:val="7"/>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40"/>
        <w:gridCol w:w="719"/>
        <w:gridCol w:w="1001"/>
        <w:gridCol w:w="1652"/>
        <w:gridCol w:w="2530"/>
        <w:gridCol w:w="650"/>
        <w:gridCol w:w="551"/>
        <w:gridCol w:w="1150"/>
        <w:gridCol w:w="2534"/>
        <w:gridCol w:w="28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植被恢复费造林及2021年人居环境整治村庄绿化预算项目绩效表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0" w:type="auto"/>
            <w:gridSpan w:val="10"/>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项目编码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13081122P00814510001J</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项目名称</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植被恢复费造林及</w:t>
            </w:r>
            <w:r>
              <w:rPr>
                <w:rStyle w:val="18"/>
                <w:rFonts w:eastAsia="宋体"/>
                <w:lang w:val="en-US" w:eastAsia="zh-CN" w:bidi="ar"/>
              </w:rPr>
              <w:t>2021</w:t>
            </w:r>
            <w:r>
              <w:rPr>
                <w:rStyle w:val="19"/>
                <w:lang w:val="en-US" w:eastAsia="zh-CN" w:bidi="ar"/>
              </w:rPr>
              <w:t>年人居环境整治村庄绿化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主管部门及代码</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实施单位</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0" w:type="auto"/>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项目绩效模板</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Arial" w:hAnsi="Arial" w:eastAsia="宋体" w:cs="Arial"/>
                <w:b/>
                <w:bCs/>
                <w:i w:val="0"/>
                <w:iCs w:val="0"/>
                <w:color w:val="000000"/>
                <w:sz w:val="22"/>
                <w:szCs w:val="22"/>
                <w:u w:val="none"/>
              </w:rPr>
            </w:pPr>
            <w:r>
              <w:rPr>
                <w:rFonts w:hint="default" w:ascii="Arial" w:hAnsi="Arial" w:eastAsia="宋体" w:cs="Arial"/>
                <w:b/>
                <w:bCs/>
                <w:i w:val="0"/>
                <w:iCs w:val="0"/>
                <w:color w:val="000000"/>
                <w:kern w:val="0"/>
                <w:sz w:val="22"/>
                <w:szCs w:val="22"/>
                <w:u w:val="none"/>
                <w:lang w:val="en-US" w:eastAsia="zh-CN" w:bidi="ar"/>
              </w:rPr>
              <w:t>绩效目标</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中长期目标（2022年-2022年）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rPr>
                <w:rFonts w:hint="default" w:ascii="Arial" w:hAnsi="Arial" w:eastAsia="宋体" w:cs="Arial"/>
                <w:b/>
                <w:bCs/>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完成2个村人居环境整治重点村的村庄绿化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6</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指标说明</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指标值</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指标确定依据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值</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单位（文字描述）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完成村庄绿化美化情况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区域内重点村庄的绿化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（冀财农〔2009〕76号）、人居环境整治村庄绿化方案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完成2个村庄绿化美化为优，反之为扣分项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植被恢复造林面积500亩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植被恢复造林面积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（冀财农〔2009〕77号）、人居环境整治村庄绿化方案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完成植被恢复造林500亩为优，反之为扣分项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工程竣工情况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工程竣工及时率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（冀财农〔2009〕78号）、人居环境整治村庄绿化方案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工程按要求及时竣工为优，反之为扣分项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项目资金支付情况</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（冀财农〔2009〕79号）、人居环境整治村庄绿化方案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项目资金支付率达到100%支付为优，其它适情况着情扣分。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提高村庄绿化、美化效率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绿化村庄，美化环境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（冀财农〔2009〕80号）、人居环境整治村庄绿化方案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提高村庄绿化、美化效率为优，反之为扣分项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推动多元投入机制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创新绿化机制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创新机制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（冀财农〔2009〕81号）、人居环境整治村庄绿化方案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提高村庄绿化、美化效率为优，反之为扣分项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鼓励农民发展庭院经济</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建设生态宜居家园</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宜绿尽绿</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（冀财农〔2009〕82号）、人居环境整治村庄绿化方案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村庄绿化率得到提高为优，反之为扣分项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持续改善街道</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持续提升街道和隙地绿化，带动村庄绿化美化建设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Calibri" w:hAnsi="Calibri" w:eastAsia="宋体" w:cs="Calibri"/>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村庄绿化美化建设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河北省森林植被恢复费征收使用管理暂行办法</w:t>
            </w:r>
            <w:r>
              <w:rPr>
                <w:rFonts w:hint="default" w:ascii="Calibri" w:hAnsi="Calibri" w:eastAsia="宋体" w:cs="Calibri"/>
                <w:i w:val="0"/>
                <w:iCs w:val="0"/>
                <w:color w:val="000000"/>
                <w:kern w:val="0"/>
                <w:sz w:val="22"/>
                <w:szCs w:val="22"/>
                <w:u w:val="none"/>
                <w:lang w:val="en-US" w:eastAsia="zh-CN" w:bidi="ar"/>
              </w:rPr>
              <w:br w:type="textWrapping"/>
            </w:r>
            <w:r>
              <w:rPr>
                <w:rFonts w:hint="default" w:ascii="Calibri" w:hAnsi="Calibri" w:eastAsia="宋体" w:cs="Calibri"/>
                <w:i w:val="0"/>
                <w:iCs w:val="0"/>
                <w:color w:val="000000"/>
                <w:kern w:val="0"/>
                <w:sz w:val="22"/>
                <w:szCs w:val="22"/>
                <w:u w:val="none"/>
                <w:lang w:val="en-US" w:eastAsia="zh-CN" w:bidi="ar"/>
              </w:rPr>
              <w:t>（冀财农〔2009〕83号）、人居环境整治村庄绿化方案</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持续提升街道和隙地绿化，带动村庄绿化美化建设为优，反之为扣分项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服务对象满意度指标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居民满意度比例</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根据制定的工作计划，使居民的满意度达到95%以上</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居民的满意度达到95%以为优，低于90%为扣分项</w:t>
            </w:r>
          </w:p>
        </w:tc>
      </w:tr>
    </w:tbl>
    <w:p>
      <w:pPr>
        <w:rPr>
          <w:rFonts w:ascii="仿宋" w:hAnsi="仿宋" w:eastAsia="仿宋"/>
          <w:b/>
          <w:bCs/>
        </w:rPr>
        <w:sectPr>
          <w:pgSz w:w="16838" w:h="11906" w:orient="landscape"/>
          <w:pgMar w:top="1800" w:right="1440" w:bottom="1800" w:left="1440" w:header="851" w:footer="992" w:gutter="0"/>
          <w:cols w:space="425" w:num="1"/>
          <w:docGrid w:type="lines" w:linePitch="312" w:charSpace="0"/>
        </w:sectPr>
      </w:pPr>
    </w:p>
    <w:p>
      <w:pPr>
        <w:jc w:val="center"/>
        <w:rPr>
          <w:rFonts w:ascii="黑体" w:hAnsi="黑体" w:eastAsia="黑体" w:cs="黑体"/>
          <w:b/>
          <w:bCs/>
          <w:sz w:val="44"/>
          <w:szCs w:val="44"/>
        </w:rPr>
      </w:pPr>
    </w:p>
    <w:p>
      <w:pPr>
        <w:jc w:val="center"/>
        <w:rPr>
          <w:rFonts w:ascii="黑体" w:hAnsi="黑体" w:eastAsia="黑体" w:cs="黑体"/>
          <w:b/>
          <w:bCs/>
          <w:sz w:val="44"/>
          <w:szCs w:val="44"/>
        </w:rPr>
      </w:pPr>
    </w:p>
    <w:p>
      <w:pPr>
        <w:pStyle w:val="2"/>
        <w:rPr>
          <w:rFonts w:ascii="黑体" w:hAnsi="黑体" w:eastAsia="黑体" w:cs="黑体"/>
          <w:b/>
          <w:bCs/>
          <w:sz w:val="44"/>
          <w:szCs w:val="44"/>
        </w:rPr>
      </w:pPr>
    </w:p>
    <w:p>
      <w:pPr>
        <w:pStyle w:val="2"/>
        <w:rPr>
          <w:rFonts w:ascii="黑体" w:hAnsi="黑体" w:eastAsia="黑体" w:cs="黑体"/>
          <w:b/>
          <w:bCs/>
          <w:sz w:val="44"/>
          <w:szCs w:val="44"/>
        </w:rPr>
      </w:pPr>
    </w:p>
    <w:p>
      <w:pPr>
        <w:jc w:val="center"/>
        <w:rPr>
          <w:rFonts w:ascii="黑体" w:hAnsi="黑体" w:eastAsia="黑体" w:cs="黑体"/>
          <w:b/>
          <w:bCs/>
          <w:sz w:val="44"/>
          <w:szCs w:val="44"/>
        </w:rPr>
      </w:pPr>
      <w:r>
        <w:rPr>
          <w:rFonts w:hint="eastAsia" w:ascii="黑体" w:hAnsi="黑体" w:eastAsia="黑体" w:cs="黑体"/>
          <w:b/>
          <w:bCs/>
          <w:sz w:val="44"/>
          <w:szCs w:val="44"/>
        </w:rPr>
        <w:t>第三部分</w:t>
      </w:r>
    </w:p>
    <w:p>
      <w:pPr>
        <w:jc w:val="center"/>
        <w:rPr>
          <w:rFonts w:ascii="黑体" w:hAnsi="黑体" w:eastAsia="黑体" w:cs="黑体"/>
          <w:b/>
          <w:bCs/>
          <w:sz w:val="44"/>
          <w:szCs w:val="44"/>
        </w:rPr>
      </w:pPr>
      <w:r>
        <w:rPr>
          <w:rFonts w:hint="eastAsia" w:ascii="黑体" w:hAnsi="黑体" w:eastAsia="黑体" w:cs="黑体"/>
          <w:b/>
          <w:bCs/>
          <w:sz w:val="44"/>
          <w:szCs w:val="44"/>
        </w:rPr>
        <w:t>预算项目绩效目标</w:t>
      </w:r>
    </w:p>
    <w:p>
      <w:pPr>
        <w:pBdr>
          <w:bottom w:val="single" w:color="FFFFFF" w:sz="8" w:space="31"/>
        </w:pBdr>
        <w:autoSpaceDN w:val="0"/>
        <w:spacing w:line="360" w:lineRule="auto"/>
        <w:rPr>
          <w:rFonts w:ascii="黑体" w:hAnsi="黑体" w:eastAsia="黑体" w:cs="黑体"/>
          <w:b/>
          <w:bCs/>
        </w:rPr>
      </w:pPr>
    </w:p>
    <w:p>
      <w:pPr>
        <w:ind w:firstLine="640" w:firstLineChars="200"/>
        <w:rPr>
          <w:rFonts w:ascii="仿宋" w:hAnsi="仿宋" w:eastAsia="仿宋"/>
        </w:rPr>
      </w:pPr>
    </w:p>
    <w:p>
      <w:pPr>
        <w:pBdr>
          <w:bottom w:val="single" w:color="FFFFFF" w:sz="8" w:space="31"/>
        </w:pBdr>
        <w:autoSpaceDN w:val="0"/>
        <w:spacing w:line="360" w:lineRule="auto"/>
        <w:ind w:firstLine="640" w:firstLineChars="200"/>
        <w:rPr>
          <w:rFonts w:ascii="仿宋" w:hAnsi="仿宋" w:eastAsia="仿宋"/>
        </w:rPr>
      </w:pPr>
    </w:p>
    <w:p>
      <w:pPr>
        <w:pBdr>
          <w:bottom w:val="single" w:color="FFFFFF" w:sz="8" w:space="31"/>
        </w:pBdr>
        <w:autoSpaceDN w:val="0"/>
        <w:spacing w:line="360" w:lineRule="auto"/>
        <w:rPr>
          <w:rFonts w:ascii="仿宋" w:hAnsi="仿宋" w:eastAsia="仿宋" w:cs="??_GB2312"/>
          <w:bCs/>
        </w:rPr>
      </w:pPr>
    </w:p>
    <w:p>
      <w:pPr>
        <w:pBdr>
          <w:bottom w:val="single" w:color="FFFFFF" w:sz="8" w:space="31"/>
        </w:pBdr>
        <w:autoSpaceDN w:val="0"/>
        <w:spacing w:line="360" w:lineRule="auto"/>
        <w:rPr>
          <w:rFonts w:ascii="仿宋" w:hAnsi="仿宋" w:eastAsia="仿宋" w:cs="??_GB2312"/>
          <w:bCs/>
        </w:rPr>
      </w:pPr>
    </w:p>
    <w:p>
      <w:pPr>
        <w:rPr>
          <w:rFonts w:ascii="仿宋" w:hAnsi="仿宋" w:eastAsia="仿宋"/>
        </w:rPr>
      </w:pPr>
    </w:p>
    <w:p>
      <w:pPr>
        <w:ind w:firstLine="640" w:firstLineChars="200"/>
        <w:rPr>
          <w:rFonts w:ascii="仿宋" w:hAnsi="仿宋" w:eastAsia="仿宋"/>
        </w:rPr>
      </w:pPr>
    </w:p>
    <w:p>
      <w:pPr>
        <w:rPr>
          <w:rFonts w:ascii="仿宋" w:hAnsi="仿宋" w:eastAsia="仿宋"/>
        </w:rPr>
      </w:pPr>
    </w:p>
    <w:p>
      <w:pPr>
        <w:rPr>
          <w:rFonts w:ascii="仿宋" w:hAnsi="仿宋" w:eastAsia="仿宋"/>
        </w:rPr>
        <w:sectPr>
          <w:pgSz w:w="11906" w:h="16838"/>
          <w:pgMar w:top="1440" w:right="1800" w:bottom="1440" w:left="1800" w:header="851" w:footer="992" w:gutter="0"/>
          <w:cols w:space="425" w:num="1"/>
          <w:docGrid w:type="lines" w:linePitch="312" w:charSpace="0"/>
        </w:sectPr>
      </w:pPr>
    </w:p>
    <w:p>
      <w:pPr>
        <w:numPr>
          <w:ilvl w:val="0"/>
          <w:numId w:val="8"/>
        </w:numPr>
        <w:rPr>
          <w:rFonts w:ascii="仿宋" w:hAnsi="仿宋" w:eastAsia="仿宋"/>
          <w:b/>
          <w:bCs/>
        </w:rPr>
      </w:pPr>
      <w:r>
        <w:rPr>
          <w:rFonts w:hint="eastAsia" w:ascii="仿宋" w:hAnsi="仿宋" w:eastAsia="仿宋"/>
          <w:b/>
          <w:bCs/>
        </w:rPr>
        <w:t>人员经费</w:t>
      </w:r>
    </w:p>
    <w:tbl>
      <w:tblPr>
        <w:tblStyle w:val="7"/>
        <w:tblW w:w="13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31"/>
        <w:gridCol w:w="1372"/>
        <w:gridCol w:w="1650"/>
        <w:gridCol w:w="2121"/>
        <w:gridCol w:w="964"/>
        <w:gridCol w:w="648"/>
        <w:gridCol w:w="915"/>
        <w:gridCol w:w="2288"/>
        <w:gridCol w:w="27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10" w:type="dxa"/>
            <w:gridSpan w:val="9"/>
            <w:tcBorders>
              <w:top w:val="single" w:color="B0C4DE" w:sz="4" w:space="0"/>
              <w:left w:val="single" w:color="B0C4DE" w:sz="4" w:space="0"/>
              <w:bottom w:val="nil"/>
              <w:right w:val="single" w:color="B0C4DE"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项目编码及名称</w:t>
            </w:r>
          </w:p>
        </w:tc>
        <w:tc>
          <w:tcPr>
            <w:tcW w:w="5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[13081122D0F694548766E]人员类项目</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主管部门</w:t>
            </w:r>
          </w:p>
        </w:tc>
        <w:tc>
          <w:tcPr>
            <w:tcW w:w="59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项目单位</w:t>
            </w:r>
          </w:p>
        </w:tc>
        <w:tc>
          <w:tcPr>
            <w:tcW w:w="514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年度资金总额</w:t>
            </w:r>
          </w:p>
        </w:tc>
        <w:tc>
          <w:tcPr>
            <w:tcW w:w="5924"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246.230000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3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资金用途</w:t>
            </w:r>
          </w:p>
        </w:tc>
        <w:tc>
          <w:tcPr>
            <w:tcW w:w="12679"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维持机关日常运转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资金支出计划</w:t>
            </w:r>
            <w:r>
              <w:rPr>
                <w:rFonts w:hint="default" w:ascii="Calibri" w:hAnsi="Calibri" w:eastAsia="宋体" w:cs="Calibri"/>
                <w:b/>
                <w:bCs/>
                <w:i w:val="0"/>
                <w:iCs w:val="0"/>
                <w:color w:val="000000"/>
                <w:kern w:val="0"/>
                <w:sz w:val="22"/>
                <w:szCs w:val="22"/>
                <w:u w:val="none"/>
                <w:lang w:val="en-US" w:eastAsia="zh-CN" w:bidi="ar"/>
              </w:rPr>
              <w:br w:type="textWrapping"/>
            </w:r>
            <w:r>
              <w:rPr>
                <w:rFonts w:hint="default" w:ascii="Calibri" w:hAnsi="Calibri" w:eastAsia="宋体" w:cs="Calibri"/>
                <w:b/>
                <w:bCs/>
                <w:i w:val="0"/>
                <w:iCs w:val="0"/>
                <w:color w:val="000000"/>
                <w:kern w:val="0"/>
                <w:sz w:val="22"/>
                <w:szCs w:val="22"/>
                <w:u w:val="none"/>
                <w:lang w:val="en-US" w:eastAsia="zh-CN" w:bidi="ar"/>
              </w:rPr>
              <w:t>（累计支出比例）</w:t>
            </w: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3月底</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6月底</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10月底</w:t>
            </w: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302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50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年度绩效目标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11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按时完成各类保险的缴纳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目标2</w:t>
            </w:r>
          </w:p>
        </w:tc>
        <w:tc>
          <w:tcPr>
            <w:tcW w:w="11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每月按时准确发放人员工资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目标3</w:t>
            </w:r>
          </w:p>
        </w:tc>
        <w:tc>
          <w:tcPr>
            <w:tcW w:w="1130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尽职尽责完成工作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一级指标</w:t>
            </w:r>
          </w:p>
        </w:tc>
        <w:tc>
          <w:tcPr>
            <w:tcW w:w="137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二级指标</w:t>
            </w:r>
          </w:p>
        </w:tc>
        <w:tc>
          <w:tcPr>
            <w:tcW w:w="16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三级指标</w:t>
            </w:r>
          </w:p>
        </w:tc>
        <w:tc>
          <w:tcPr>
            <w:tcW w:w="21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绩效指标描述（指标内容）</w:t>
            </w:r>
          </w:p>
        </w:tc>
        <w:tc>
          <w:tcPr>
            <w:tcW w:w="25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指标值</w:t>
            </w:r>
          </w:p>
        </w:tc>
        <w:tc>
          <w:tcPr>
            <w:tcW w:w="2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指标确定依据</w:t>
            </w:r>
          </w:p>
        </w:tc>
        <w:tc>
          <w:tcPr>
            <w:tcW w:w="27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6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21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符号</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值</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单位（文字描述）</w:t>
            </w:r>
          </w:p>
        </w:tc>
        <w:tc>
          <w:tcPr>
            <w:tcW w:w="2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27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产出指标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在编在岗人员出勤率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考核在编在岗人员出勤情况</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以实际出勤天数为准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出勤率达到90%以上为优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工资发放准确率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反映工资发放的准确情况</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按月申报工资申请</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及时申报工资申请为优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按月足额拨付资金</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每月足额拨付资金</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每月8日前</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已每月8号为发放标准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每月8号及时发放工资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个人核定工资数额</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个人核对工资数额</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工资标准</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已每人岗位聘任情况为标准</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工资数额不超标准为优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效益指标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机关工作人员尽职尽责率</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考察机关工作人员尽职尽责情况</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尽职尽责完成工作</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尽职尽责完成工作为优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可持续影响指标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按“三保”政策，工资逐月及时足额发放</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反映“三保”政策，工资逐月及时足额发放</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每月发放工资</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按照政策要求，每月按时发放工资</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按照政策要求，每月按时发放工资为优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23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满意度指标</w:t>
            </w: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单位财政供养人员满意度</w:t>
            </w: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反映单位财政供养人员的满意度</w:t>
            </w: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98</w:t>
            </w: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按照计划使财政供养人员满意度达到98%以上</w:t>
            </w: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财政供养人员满意度达到98%以上为优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23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1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9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228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7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r>
    </w:tbl>
    <w:p>
      <w:pPr>
        <w:rPr>
          <w:rFonts w:ascii="仿宋" w:hAnsi="仿宋" w:eastAsia="仿宋"/>
          <w:b/>
          <w:bCs/>
        </w:rPr>
      </w:pPr>
    </w:p>
    <w:p>
      <w:pPr>
        <w:rPr>
          <w:rFonts w:ascii="仿宋" w:hAnsi="仿宋" w:eastAsia="仿宋"/>
          <w:b/>
          <w:bCs/>
        </w:rPr>
      </w:pPr>
      <w:r>
        <w:rPr>
          <w:rFonts w:hint="eastAsia" w:ascii="仿宋" w:hAnsi="仿宋" w:eastAsia="仿宋"/>
          <w:b/>
          <w:bCs/>
        </w:rPr>
        <w:t>2.日常公用经费</w:t>
      </w:r>
    </w:p>
    <w:p>
      <w:pPr>
        <w:rPr>
          <w:rFonts w:ascii="仿宋" w:hAnsi="仿宋" w:eastAsia="仿宋"/>
          <w:b/>
          <w:bCs/>
        </w:rPr>
      </w:pPr>
    </w:p>
    <w:tbl>
      <w:tblPr>
        <w:tblStyle w:val="7"/>
        <w:tblW w:w="1391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8"/>
        <w:gridCol w:w="1373"/>
        <w:gridCol w:w="1627"/>
        <w:gridCol w:w="2212"/>
        <w:gridCol w:w="940"/>
        <w:gridCol w:w="865"/>
        <w:gridCol w:w="1500"/>
        <w:gridCol w:w="1602"/>
        <w:gridCol w:w="25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139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Calibri" w:hAnsi="Calibri" w:eastAsia="宋体" w:cs="Calibri"/>
                <w:i w:val="0"/>
                <w:iCs w:val="0"/>
                <w:color w:val="000000"/>
                <w:sz w:val="24"/>
                <w:szCs w:val="24"/>
                <w:u w:val="none"/>
              </w:rPr>
            </w:pPr>
            <w:r>
              <w:rPr>
                <w:rFonts w:hint="default" w:ascii="Calibri" w:hAnsi="Calibri" w:eastAsia="宋体" w:cs="Calibri"/>
                <w:i w:val="0"/>
                <w:iCs w:val="0"/>
                <w:color w:val="000000"/>
                <w:kern w:val="0"/>
                <w:sz w:val="24"/>
                <w:szCs w:val="24"/>
                <w:u w:val="none"/>
                <w:lang w:val="en-US" w:eastAsia="zh-CN" w:bidi="ar"/>
              </w:rPr>
              <w:t>年度目标（2022)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项目编码及名称</w:t>
            </w:r>
          </w:p>
        </w:tc>
        <w:tc>
          <w:tcPr>
            <w:tcW w:w="5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[13081122D0F7360F255B7]运转类公用经费项目</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主管部门</w:t>
            </w:r>
          </w:p>
        </w:tc>
        <w:tc>
          <w:tcPr>
            <w:tcW w:w="5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[132]承德高新技术产业开发区林业水务局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项目单位</w:t>
            </w:r>
          </w:p>
        </w:tc>
        <w:tc>
          <w:tcPr>
            <w:tcW w:w="52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[132001]承德高新技术产业开发区林业水务局本级</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年度资金总额</w:t>
            </w:r>
          </w:p>
        </w:tc>
        <w:tc>
          <w:tcPr>
            <w:tcW w:w="569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19.690000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资金用途</w:t>
            </w:r>
          </w:p>
        </w:tc>
        <w:tc>
          <w:tcPr>
            <w:tcW w:w="1271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用于单位的日常经费支出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资金支出计划</w:t>
            </w:r>
            <w:r>
              <w:rPr>
                <w:rFonts w:hint="default" w:ascii="Calibri" w:hAnsi="Calibri" w:eastAsia="宋体" w:cs="Calibri"/>
                <w:b/>
                <w:bCs/>
                <w:i w:val="0"/>
                <w:iCs w:val="0"/>
                <w:color w:val="000000"/>
                <w:kern w:val="0"/>
                <w:sz w:val="22"/>
                <w:szCs w:val="22"/>
                <w:u w:val="none"/>
                <w:lang w:val="en-US" w:eastAsia="zh-CN" w:bidi="ar"/>
              </w:rPr>
              <w:br w:type="textWrapping"/>
            </w:r>
            <w:r>
              <w:rPr>
                <w:rFonts w:hint="default" w:ascii="Calibri" w:hAnsi="Calibri" w:eastAsia="宋体" w:cs="Calibri"/>
                <w:b/>
                <w:bCs/>
                <w:i w:val="0"/>
                <w:iCs w:val="0"/>
                <w:color w:val="000000"/>
                <w:kern w:val="0"/>
                <w:sz w:val="22"/>
                <w:szCs w:val="22"/>
                <w:u w:val="none"/>
                <w:lang w:val="en-US" w:eastAsia="zh-CN" w:bidi="ar"/>
              </w:rPr>
              <w:t>（累计支出比例）</w:t>
            </w: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3月底</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6月底</w:t>
            </w:r>
          </w:p>
        </w:tc>
        <w:tc>
          <w:tcPr>
            <w:tcW w:w="3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10月底</w:t>
            </w:r>
          </w:p>
        </w:tc>
        <w:tc>
          <w:tcPr>
            <w:tcW w:w="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12月底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30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iCs w:val="0"/>
                <w:color w:val="000000"/>
                <w:sz w:val="22"/>
                <w:szCs w:val="22"/>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50%</w:t>
            </w:r>
          </w:p>
        </w:tc>
        <w:tc>
          <w:tcPr>
            <w:tcW w:w="3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i w:val="0"/>
                <w:iCs w:val="0"/>
                <w:color w:val="000000"/>
                <w:sz w:val="22"/>
                <w:szCs w:val="22"/>
                <w:u w:val="none"/>
              </w:rPr>
            </w:pPr>
          </w:p>
        </w:tc>
        <w:tc>
          <w:tcPr>
            <w:tcW w:w="41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年度绩效目标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目标1</w:t>
            </w:r>
          </w:p>
        </w:tc>
        <w:tc>
          <w:tcPr>
            <w:tcW w:w="1133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保障日常经费的正常支出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一级指标</w:t>
            </w:r>
          </w:p>
        </w:tc>
        <w:tc>
          <w:tcPr>
            <w:tcW w:w="13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二级指标</w:t>
            </w:r>
          </w:p>
        </w:tc>
        <w:tc>
          <w:tcPr>
            <w:tcW w:w="16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三级指标</w:t>
            </w:r>
          </w:p>
        </w:tc>
        <w:tc>
          <w:tcPr>
            <w:tcW w:w="2212"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绩效指标描述（指标内容）</w:t>
            </w:r>
          </w:p>
        </w:tc>
        <w:tc>
          <w:tcPr>
            <w:tcW w:w="33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指标值</w:t>
            </w:r>
          </w:p>
        </w:tc>
        <w:tc>
          <w:tcPr>
            <w:tcW w:w="160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指标确定依据</w:t>
            </w:r>
          </w:p>
        </w:tc>
        <w:tc>
          <w:tcPr>
            <w:tcW w:w="259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评（扣）分标准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16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2212"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符号</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值</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单位（文字描述）</w:t>
            </w:r>
          </w:p>
        </w:tc>
        <w:tc>
          <w:tcPr>
            <w:tcW w:w="160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c>
          <w:tcPr>
            <w:tcW w:w="259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产出指标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数量指标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工作日保障单位运转</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反映工作日保障单位运转情况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小时</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按照工作要求，确保每天工作8小时</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每天工作8小时为优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质量指标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经费支出准确率</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反映经费支出的准确情况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确保经费支出的准确性</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确保经费支出的准确性为优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时效指标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按时间进度要求支付使用资金</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月度时序</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支出进度要求</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按照要求，每月按照规定时间进行支付</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按照规定时间进行支付为优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成本指标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各项经费成本</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考察各项经费成本情况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小于等于核定数</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各项经费的成本不超预算</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各项经费的成本不超预算为优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效益指标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经济效益指标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“三公经费”有效控制情况</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考察“三公经费”控制情况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小于前三年平均值</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按照规定三公经费控制在规定范围内</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三公经费控制在规定范围内为优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正常办公条件保障情况</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反映正常办公条件保障情况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维护机关正常办公秩序，保障公职</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保障机关正常办公秩序，确保正常办公</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保障正常秩序正常办公为优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生态效益指标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使用节能减排产品</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反映使用产品的节能减排情况</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文字描述</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持续使用</w:t>
            </w: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节能减排，减少环境污染</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节能减排，减少环境污染为优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9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Calibri" w:hAnsi="Calibri" w:eastAsia="宋体" w:cs="Calibri"/>
                <w:b/>
                <w:bCs/>
                <w:i w:val="0"/>
                <w:iCs w:val="0"/>
                <w:color w:val="000000"/>
                <w:sz w:val="22"/>
                <w:szCs w:val="22"/>
                <w:u w:val="none"/>
              </w:rPr>
            </w:pPr>
            <w:r>
              <w:rPr>
                <w:rFonts w:hint="default" w:ascii="Calibri" w:hAnsi="Calibri" w:eastAsia="宋体" w:cs="Calibri"/>
                <w:b/>
                <w:bCs/>
                <w:i w:val="0"/>
                <w:iCs w:val="0"/>
                <w:color w:val="000000"/>
                <w:kern w:val="0"/>
                <w:sz w:val="22"/>
                <w:szCs w:val="22"/>
                <w:u w:val="none"/>
                <w:lang w:val="en-US" w:eastAsia="zh-CN" w:bidi="ar"/>
              </w:rPr>
              <w:t>满意度指标</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服务对象满意度指标</w:t>
            </w: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机关工作人员满意率</w:t>
            </w: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反映机关工作人员满意率</w:t>
            </w: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100</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机关工作人员达到100%满意</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机关工作人员满意率达到100%为优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119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Calibri" w:hAnsi="Calibri" w:eastAsia="宋体" w:cs="Calibri"/>
                <w:b/>
                <w:bCs/>
                <w:i w:val="0"/>
                <w:iCs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16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21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9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Calibri" w:hAnsi="Calibri" w:eastAsia="宋体" w:cs="Calibri"/>
                <w:i w:val="0"/>
                <w:iCs w:val="0"/>
                <w:color w:val="000000"/>
                <w:sz w:val="22"/>
                <w:szCs w:val="22"/>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Calibri" w:hAnsi="Calibri" w:eastAsia="宋体" w:cs="Calibri"/>
                <w:i w:val="0"/>
                <w:iCs w:val="0"/>
                <w:color w:val="000000"/>
                <w:sz w:val="22"/>
                <w:szCs w:val="22"/>
                <w:u w:val="none"/>
              </w:rPr>
            </w:pPr>
          </w:p>
        </w:tc>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iCs w:val="0"/>
                <w:color w:val="000000"/>
                <w:sz w:val="22"/>
                <w:szCs w:val="22"/>
                <w:u w:val="none"/>
              </w:rPr>
            </w:pPr>
          </w:p>
        </w:tc>
      </w:tr>
    </w:tbl>
    <w:p>
      <w:pPr>
        <w:pStyle w:val="2"/>
        <w:sectPr>
          <w:pgSz w:w="16838" w:h="11906" w:orient="landscape"/>
          <w:pgMar w:top="1800" w:right="1440" w:bottom="1800" w:left="1440" w:header="851" w:footer="992" w:gutter="0"/>
          <w:cols w:space="425" w:num="1"/>
          <w:docGrid w:type="lines" w:linePitch="312" w:charSpace="0"/>
        </w:sectPr>
      </w:pPr>
    </w:p>
    <w:p>
      <w:pPr>
        <w:spacing w:afterLines="50"/>
        <w:rPr>
          <w:rFonts w:ascii="??_GB2312" w:eastAsiaTheme="minorEastAsia"/>
        </w:rPr>
      </w:pPr>
    </w:p>
    <w:sectPr>
      <w:headerReference r:id="rId4" w:type="default"/>
      <w:footerReference r:id="rId5" w:type="default"/>
      <w:footerReference r:id="rId6" w:type="even"/>
      <w:pgSz w:w="11906" w:h="16838"/>
      <w:pgMar w:top="2098" w:right="1474" w:bottom="2098" w:left="1588" w:header="851" w:footer="992" w:gutter="0"/>
      <w:pgNumType w:fmt="numberInDash" w:start="2"/>
      <w:cols w:space="720" w:num="1"/>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DDS/3YAQAAsQMAAA4AAABkcnMvZTJvRG9jLnhtbK1TS27bMBDd&#10;F+gdCO5rKUb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MMNL/dgBAACxAwAADgAAAAAAAAAB&#10;ACAAAAAiAQAAZHJzL2Uyb0RvYy54bWxQSwUGAAAAAAYABgBZAQAAbAUAAAAA&#10;">
              <v:fill on="f" focussize="0,0"/>
              <v:stroke on="f" weight="1.25pt"/>
              <v:imagedata o:title=""/>
              <o:lock v:ext="edit" aspectratio="f"/>
              <v:textbox inset="0mm,0mm,0mm,0mm" style="mso-fit-shape-to-text:t;">
                <w:txbxContent>
                  <w:p>
                    <w:pPr>
                      <w:pStyle w:val="4"/>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E090C2"/>
    <w:multiLevelType w:val="singleLevel"/>
    <w:tmpl w:val="80E090C2"/>
    <w:lvl w:ilvl="0" w:tentative="0">
      <w:start w:val="1"/>
      <w:numFmt w:val="decimal"/>
      <w:suff w:val="space"/>
      <w:lvlText w:val="%1."/>
      <w:lvlJc w:val="left"/>
      <w:rPr>
        <w:rFonts w:cs="Times New Roman"/>
      </w:rPr>
    </w:lvl>
  </w:abstractNum>
  <w:abstractNum w:abstractNumId="1">
    <w:nsid w:val="9246DFC0"/>
    <w:multiLevelType w:val="singleLevel"/>
    <w:tmpl w:val="9246DFC0"/>
    <w:lvl w:ilvl="0" w:tentative="0">
      <w:start w:val="1"/>
      <w:numFmt w:val="chineseCounting"/>
      <w:suff w:val="nothing"/>
      <w:lvlText w:val="%1、"/>
      <w:lvlJc w:val="left"/>
      <w:rPr>
        <w:rFonts w:hint="eastAsia" w:cs="Times New Roman"/>
      </w:rPr>
    </w:lvl>
  </w:abstractNum>
  <w:abstractNum w:abstractNumId="2">
    <w:nsid w:val="9A4E9C74"/>
    <w:multiLevelType w:val="singleLevel"/>
    <w:tmpl w:val="9A4E9C74"/>
    <w:lvl w:ilvl="0" w:tentative="0">
      <w:start w:val="5"/>
      <w:numFmt w:val="decimal"/>
      <w:lvlText w:val="%1."/>
      <w:lvlJc w:val="left"/>
      <w:pPr>
        <w:tabs>
          <w:tab w:val="left" w:pos="312"/>
        </w:tabs>
      </w:pPr>
      <w:rPr>
        <w:rFonts w:cs="Times New Roman"/>
      </w:rPr>
    </w:lvl>
  </w:abstractNum>
  <w:abstractNum w:abstractNumId="3">
    <w:nsid w:val="09EE888D"/>
    <w:multiLevelType w:val="singleLevel"/>
    <w:tmpl w:val="09EE888D"/>
    <w:lvl w:ilvl="0" w:tentative="0">
      <w:start w:val="1"/>
      <w:numFmt w:val="decimal"/>
      <w:suff w:val="space"/>
      <w:lvlText w:val="%1."/>
      <w:lvlJc w:val="left"/>
      <w:rPr>
        <w:rFonts w:cs="Times New Roman"/>
      </w:rPr>
    </w:lvl>
  </w:abstractNum>
  <w:abstractNum w:abstractNumId="4">
    <w:nsid w:val="0E631131"/>
    <w:multiLevelType w:val="multilevel"/>
    <w:tmpl w:val="0E631131"/>
    <w:lvl w:ilvl="0" w:tentative="0">
      <w:start w:val="3"/>
      <w:numFmt w:val="japaneseCounting"/>
      <w:lvlText w:val="（%1）"/>
      <w:lvlJc w:val="left"/>
      <w:pPr>
        <w:tabs>
          <w:tab w:val="left" w:pos="1720"/>
        </w:tabs>
        <w:ind w:left="1720" w:hanging="108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5">
    <w:nsid w:val="1C9C55BC"/>
    <w:multiLevelType w:val="singleLevel"/>
    <w:tmpl w:val="1C9C55BC"/>
    <w:lvl w:ilvl="0" w:tentative="0">
      <w:start w:val="1"/>
      <w:numFmt w:val="decimal"/>
      <w:lvlText w:val="%1."/>
      <w:lvlJc w:val="left"/>
      <w:pPr>
        <w:tabs>
          <w:tab w:val="left" w:pos="312"/>
        </w:tabs>
      </w:pPr>
      <w:rPr>
        <w:rFonts w:cs="Times New Roman"/>
      </w:rPr>
    </w:lvl>
  </w:abstractNum>
  <w:abstractNum w:abstractNumId="6">
    <w:nsid w:val="530D8ACE"/>
    <w:multiLevelType w:val="singleLevel"/>
    <w:tmpl w:val="530D8ACE"/>
    <w:lvl w:ilvl="0" w:tentative="0">
      <w:start w:val="1"/>
      <w:numFmt w:val="chineseCounting"/>
      <w:suff w:val="nothing"/>
      <w:lvlText w:val="（%1）"/>
      <w:lvlJc w:val="left"/>
      <w:rPr>
        <w:rFonts w:hint="eastAsia" w:cs="Times New Roman"/>
      </w:rPr>
    </w:lvl>
  </w:abstractNum>
  <w:abstractNum w:abstractNumId="7">
    <w:nsid w:val="7F259923"/>
    <w:multiLevelType w:val="singleLevel"/>
    <w:tmpl w:val="7F259923"/>
    <w:lvl w:ilvl="0" w:tentative="0">
      <w:start w:val="1"/>
      <w:numFmt w:val="chineseCounting"/>
      <w:suff w:val="nothing"/>
      <w:lvlText w:val="%1、"/>
      <w:lvlJc w:val="left"/>
      <w:rPr>
        <w:rFonts w:hint="eastAsia" w:cs="Times New Roman"/>
      </w:rPr>
    </w:lvl>
  </w:abstractNum>
  <w:num w:numId="1">
    <w:abstractNumId w:val="1"/>
  </w:num>
  <w:num w:numId="2">
    <w:abstractNumId w:val="6"/>
  </w:num>
  <w:num w:numId="3">
    <w:abstractNumId w:val="5"/>
  </w:num>
  <w:num w:numId="4">
    <w:abstractNumId w:val="4"/>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ODhmY2RjNjdlMTdmZTg2OTBiMzBlMDEyZmIyNTEifQ=="/>
  </w:docVars>
  <w:rsids>
    <w:rsidRoot w:val="00172A27"/>
    <w:rsid w:val="00012814"/>
    <w:rsid w:val="000C4C3F"/>
    <w:rsid w:val="000C4E32"/>
    <w:rsid w:val="000E0B17"/>
    <w:rsid w:val="000F40E0"/>
    <w:rsid w:val="001229DF"/>
    <w:rsid w:val="00172A27"/>
    <w:rsid w:val="001B4154"/>
    <w:rsid w:val="001E3EB4"/>
    <w:rsid w:val="00220D03"/>
    <w:rsid w:val="002251C3"/>
    <w:rsid w:val="00235D9E"/>
    <w:rsid w:val="00261B54"/>
    <w:rsid w:val="0027494E"/>
    <w:rsid w:val="00285B1B"/>
    <w:rsid w:val="00290267"/>
    <w:rsid w:val="002A2962"/>
    <w:rsid w:val="002E4D8B"/>
    <w:rsid w:val="003511AB"/>
    <w:rsid w:val="0035661D"/>
    <w:rsid w:val="003D23C4"/>
    <w:rsid w:val="003D7B1D"/>
    <w:rsid w:val="0040640A"/>
    <w:rsid w:val="00423DA4"/>
    <w:rsid w:val="00434DFE"/>
    <w:rsid w:val="004C00AD"/>
    <w:rsid w:val="004D69AD"/>
    <w:rsid w:val="004F0385"/>
    <w:rsid w:val="0050716D"/>
    <w:rsid w:val="005A3BDF"/>
    <w:rsid w:val="005A596F"/>
    <w:rsid w:val="005E72FF"/>
    <w:rsid w:val="00601B77"/>
    <w:rsid w:val="00616E38"/>
    <w:rsid w:val="00623C52"/>
    <w:rsid w:val="006313BF"/>
    <w:rsid w:val="00633F97"/>
    <w:rsid w:val="00684308"/>
    <w:rsid w:val="00694A04"/>
    <w:rsid w:val="006B5F5A"/>
    <w:rsid w:val="0071778C"/>
    <w:rsid w:val="00775123"/>
    <w:rsid w:val="007926CA"/>
    <w:rsid w:val="007B561A"/>
    <w:rsid w:val="00801D27"/>
    <w:rsid w:val="008247BA"/>
    <w:rsid w:val="00867152"/>
    <w:rsid w:val="008955B9"/>
    <w:rsid w:val="008964A7"/>
    <w:rsid w:val="008E051C"/>
    <w:rsid w:val="00901C34"/>
    <w:rsid w:val="009072EB"/>
    <w:rsid w:val="00932043"/>
    <w:rsid w:val="0094341B"/>
    <w:rsid w:val="00955602"/>
    <w:rsid w:val="0098598A"/>
    <w:rsid w:val="009F0405"/>
    <w:rsid w:val="00A14B86"/>
    <w:rsid w:val="00A235B8"/>
    <w:rsid w:val="00A36930"/>
    <w:rsid w:val="00A862B1"/>
    <w:rsid w:val="00A96FBF"/>
    <w:rsid w:val="00AA14B3"/>
    <w:rsid w:val="00AD1089"/>
    <w:rsid w:val="00B256C0"/>
    <w:rsid w:val="00B25AB3"/>
    <w:rsid w:val="00B260C6"/>
    <w:rsid w:val="00B35924"/>
    <w:rsid w:val="00B611A8"/>
    <w:rsid w:val="00BB4A8D"/>
    <w:rsid w:val="00BF2CFB"/>
    <w:rsid w:val="00C122F1"/>
    <w:rsid w:val="00C1744C"/>
    <w:rsid w:val="00C865C2"/>
    <w:rsid w:val="00CE0A46"/>
    <w:rsid w:val="00D17953"/>
    <w:rsid w:val="00D526C8"/>
    <w:rsid w:val="00D729E6"/>
    <w:rsid w:val="00D8545B"/>
    <w:rsid w:val="00DB594D"/>
    <w:rsid w:val="00DB7632"/>
    <w:rsid w:val="00DD4C77"/>
    <w:rsid w:val="00E1294B"/>
    <w:rsid w:val="00E2371B"/>
    <w:rsid w:val="00E8743B"/>
    <w:rsid w:val="00EC3A37"/>
    <w:rsid w:val="00F378F2"/>
    <w:rsid w:val="00F44EF9"/>
    <w:rsid w:val="00FA2B0C"/>
    <w:rsid w:val="00FD0A50"/>
    <w:rsid w:val="01117014"/>
    <w:rsid w:val="01634365"/>
    <w:rsid w:val="020203B3"/>
    <w:rsid w:val="02222A96"/>
    <w:rsid w:val="02470214"/>
    <w:rsid w:val="02B076E6"/>
    <w:rsid w:val="034B7492"/>
    <w:rsid w:val="046306FA"/>
    <w:rsid w:val="049501DB"/>
    <w:rsid w:val="04FC37E7"/>
    <w:rsid w:val="06C4206D"/>
    <w:rsid w:val="070C6109"/>
    <w:rsid w:val="074C7389"/>
    <w:rsid w:val="07C16A3A"/>
    <w:rsid w:val="07E46CA2"/>
    <w:rsid w:val="08593605"/>
    <w:rsid w:val="088B0A1E"/>
    <w:rsid w:val="09615A51"/>
    <w:rsid w:val="0AF17AE1"/>
    <w:rsid w:val="0C543639"/>
    <w:rsid w:val="0C8148E1"/>
    <w:rsid w:val="0CC3612D"/>
    <w:rsid w:val="0D451C31"/>
    <w:rsid w:val="0D534F37"/>
    <w:rsid w:val="0E981B3F"/>
    <w:rsid w:val="0F710FC2"/>
    <w:rsid w:val="0FAF1B37"/>
    <w:rsid w:val="0FF13AC6"/>
    <w:rsid w:val="10CC78C6"/>
    <w:rsid w:val="12382E95"/>
    <w:rsid w:val="132A4CC8"/>
    <w:rsid w:val="1439146B"/>
    <w:rsid w:val="15A52030"/>
    <w:rsid w:val="16AB0ACC"/>
    <w:rsid w:val="16D06EE8"/>
    <w:rsid w:val="17EE6D78"/>
    <w:rsid w:val="181D7052"/>
    <w:rsid w:val="18900F51"/>
    <w:rsid w:val="18B139FB"/>
    <w:rsid w:val="193D2626"/>
    <w:rsid w:val="19CD4306"/>
    <w:rsid w:val="1AC66647"/>
    <w:rsid w:val="1AD33248"/>
    <w:rsid w:val="1AE8186E"/>
    <w:rsid w:val="1E0A29BA"/>
    <w:rsid w:val="1EAA65A4"/>
    <w:rsid w:val="1F1C7480"/>
    <w:rsid w:val="1F941579"/>
    <w:rsid w:val="1FF6664E"/>
    <w:rsid w:val="20016C95"/>
    <w:rsid w:val="20672450"/>
    <w:rsid w:val="20ED5D18"/>
    <w:rsid w:val="227A2B74"/>
    <w:rsid w:val="232D31C5"/>
    <w:rsid w:val="235A7FBB"/>
    <w:rsid w:val="23C95D6E"/>
    <w:rsid w:val="26115441"/>
    <w:rsid w:val="26115D84"/>
    <w:rsid w:val="27B45111"/>
    <w:rsid w:val="28811F0D"/>
    <w:rsid w:val="293F73FB"/>
    <w:rsid w:val="2A726D79"/>
    <w:rsid w:val="2AAB3ECF"/>
    <w:rsid w:val="2B5D436F"/>
    <w:rsid w:val="2BA66BE4"/>
    <w:rsid w:val="2D8E3228"/>
    <w:rsid w:val="2E8C0C64"/>
    <w:rsid w:val="30097F37"/>
    <w:rsid w:val="306D38CF"/>
    <w:rsid w:val="309619FE"/>
    <w:rsid w:val="30C06AC8"/>
    <w:rsid w:val="30CF2E44"/>
    <w:rsid w:val="30EE0471"/>
    <w:rsid w:val="330150EF"/>
    <w:rsid w:val="335C4B14"/>
    <w:rsid w:val="345A5E8C"/>
    <w:rsid w:val="347D4D02"/>
    <w:rsid w:val="34A663DD"/>
    <w:rsid w:val="365A2FFA"/>
    <w:rsid w:val="365E6D47"/>
    <w:rsid w:val="37215795"/>
    <w:rsid w:val="37B24139"/>
    <w:rsid w:val="37B52BC1"/>
    <w:rsid w:val="3847665A"/>
    <w:rsid w:val="38E36432"/>
    <w:rsid w:val="396D5FE4"/>
    <w:rsid w:val="39CC0662"/>
    <w:rsid w:val="3B1243E8"/>
    <w:rsid w:val="3B7F1D70"/>
    <w:rsid w:val="3B8F3825"/>
    <w:rsid w:val="3B971934"/>
    <w:rsid w:val="3C085BCE"/>
    <w:rsid w:val="412B7DB8"/>
    <w:rsid w:val="419F4D5B"/>
    <w:rsid w:val="425F40A0"/>
    <w:rsid w:val="4299711A"/>
    <w:rsid w:val="42A44936"/>
    <w:rsid w:val="42A729C3"/>
    <w:rsid w:val="447F4380"/>
    <w:rsid w:val="45AF7B62"/>
    <w:rsid w:val="45BC6B3A"/>
    <w:rsid w:val="468F7580"/>
    <w:rsid w:val="46D36936"/>
    <w:rsid w:val="47233CA7"/>
    <w:rsid w:val="485B1545"/>
    <w:rsid w:val="489E353A"/>
    <w:rsid w:val="48D60F55"/>
    <w:rsid w:val="48D670D9"/>
    <w:rsid w:val="496B4F59"/>
    <w:rsid w:val="4A2F65D8"/>
    <w:rsid w:val="4A59713A"/>
    <w:rsid w:val="4CA02D9D"/>
    <w:rsid w:val="4CE8736A"/>
    <w:rsid w:val="4D66019F"/>
    <w:rsid w:val="4D681845"/>
    <w:rsid w:val="4D781399"/>
    <w:rsid w:val="4DA829D5"/>
    <w:rsid w:val="4DB84760"/>
    <w:rsid w:val="4FA54813"/>
    <w:rsid w:val="50857355"/>
    <w:rsid w:val="50A20F20"/>
    <w:rsid w:val="524A426F"/>
    <w:rsid w:val="52B4477E"/>
    <w:rsid w:val="53685302"/>
    <w:rsid w:val="542F4C86"/>
    <w:rsid w:val="54E67AE0"/>
    <w:rsid w:val="54FE7F65"/>
    <w:rsid w:val="55B943DF"/>
    <w:rsid w:val="55DC6D4C"/>
    <w:rsid w:val="561F5C5E"/>
    <w:rsid w:val="57382CC0"/>
    <w:rsid w:val="587D1F76"/>
    <w:rsid w:val="58871E5C"/>
    <w:rsid w:val="58C5432A"/>
    <w:rsid w:val="58FC474B"/>
    <w:rsid w:val="5AE341EC"/>
    <w:rsid w:val="5E4601F3"/>
    <w:rsid w:val="5EAF0827"/>
    <w:rsid w:val="5EBB75E0"/>
    <w:rsid w:val="5EFC1A9B"/>
    <w:rsid w:val="5F123510"/>
    <w:rsid w:val="5F5A1455"/>
    <w:rsid w:val="5F9236FF"/>
    <w:rsid w:val="6008476C"/>
    <w:rsid w:val="60373A1C"/>
    <w:rsid w:val="6377583F"/>
    <w:rsid w:val="65522D25"/>
    <w:rsid w:val="65FC61C5"/>
    <w:rsid w:val="66A12E8D"/>
    <w:rsid w:val="67CD5C78"/>
    <w:rsid w:val="682F61CA"/>
    <w:rsid w:val="68FF330F"/>
    <w:rsid w:val="699528DC"/>
    <w:rsid w:val="6A066A89"/>
    <w:rsid w:val="6A985E96"/>
    <w:rsid w:val="6B082C76"/>
    <w:rsid w:val="6B1A088C"/>
    <w:rsid w:val="6B5C18F6"/>
    <w:rsid w:val="6CAC60B4"/>
    <w:rsid w:val="6CC726F4"/>
    <w:rsid w:val="6DA907A5"/>
    <w:rsid w:val="6EAD09ED"/>
    <w:rsid w:val="6EFD6BD0"/>
    <w:rsid w:val="70680851"/>
    <w:rsid w:val="715B5014"/>
    <w:rsid w:val="717C7034"/>
    <w:rsid w:val="71D91E1A"/>
    <w:rsid w:val="72DB2C50"/>
    <w:rsid w:val="731F0A71"/>
    <w:rsid w:val="741B30C7"/>
    <w:rsid w:val="7492421A"/>
    <w:rsid w:val="74CC664F"/>
    <w:rsid w:val="75985F22"/>
    <w:rsid w:val="79725EC8"/>
    <w:rsid w:val="798726C8"/>
    <w:rsid w:val="79B20B9D"/>
    <w:rsid w:val="7B640AAF"/>
    <w:rsid w:val="7BBD0EFF"/>
    <w:rsid w:val="7BEA3F77"/>
    <w:rsid w:val="7C0A3672"/>
    <w:rsid w:val="7D33689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仿宋"/>
      <w:kern w:val="2"/>
      <w:sz w:val="32"/>
      <w:szCs w:val="3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5"/>
    <w:qFormat/>
    <w:uiPriority w:val="1"/>
    <w:rPr>
      <w:rFonts w:ascii="仿宋" w:hAnsi="仿宋" w:eastAsia="仿宋"/>
      <w:lang w:val="zh-CN" w:bidi="zh-CN"/>
    </w:rPr>
  </w:style>
  <w:style w:type="paragraph" w:styleId="3">
    <w:name w:val="Balloon Text"/>
    <w:basedOn w:val="1"/>
    <w:link w:val="16"/>
    <w:semiHidden/>
    <w:unhideWhenUsed/>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4"/>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99"/>
    <w:rPr>
      <w:rFonts w:cs="Times New Roman"/>
      <w:sz w:val="24"/>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rFonts w:cs="Times New Roman"/>
      <w:b/>
      <w:bCs/>
    </w:rPr>
  </w:style>
  <w:style w:type="character" w:styleId="11">
    <w:name w:val="page number"/>
    <w:basedOn w:val="9"/>
    <w:uiPriority w:val="99"/>
    <w:rPr>
      <w:rFonts w:cs="Times New Roman"/>
    </w:rPr>
  </w:style>
  <w:style w:type="character" w:styleId="12">
    <w:name w:val="Hyperlink"/>
    <w:basedOn w:val="9"/>
    <w:qFormat/>
    <w:uiPriority w:val="99"/>
    <w:rPr>
      <w:rFonts w:cs="Times New Roman"/>
      <w:color w:val="000000"/>
      <w:u w:val="none"/>
    </w:rPr>
  </w:style>
  <w:style w:type="character" w:customStyle="1" w:styleId="13">
    <w:name w:val="页脚 Char"/>
    <w:basedOn w:val="9"/>
    <w:link w:val="4"/>
    <w:semiHidden/>
    <w:uiPriority w:val="99"/>
    <w:rPr>
      <w:rFonts w:ascii="Calibri" w:hAnsi="Calibri" w:cs="仿宋"/>
      <w:sz w:val="18"/>
      <w:szCs w:val="18"/>
    </w:rPr>
  </w:style>
  <w:style w:type="character" w:customStyle="1" w:styleId="14">
    <w:name w:val="页眉 Char"/>
    <w:basedOn w:val="9"/>
    <w:link w:val="5"/>
    <w:qFormat/>
    <w:locked/>
    <w:uiPriority w:val="99"/>
    <w:rPr>
      <w:rFonts w:ascii="Calibri" w:hAnsi="Calibri" w:eastAsia="宋体" w:cs="仿宋"/>
      <w:kern w:val="2"/>
      <w:sz w:val="18"/>
      <w:szCs w:val="18"/>
    </w:rPr>
  </w:style>
  <w:style w:type="character" w:customStyle="1" w:styleId="15">
    <w:name w:val="正文文本 Char"/>
    <w:basedOn w:val="9"/>
    <w:link w:val="2"/>
    <w:uiPriority w:val="1"/>
    <w:rPr>
      <w:rFonts w:ascii="仿宋" w:hAnsi="仿宋" w:eastAsia="仿宋" w:cs="仿宋"/>
      <w:kern w:val="2"/>
      <w:sz w:val="32"/>
      <w:szCs w:val="32"/>
      <w:lang w:val="zh-CN" w:bidi="zh-CN"/>
    </w:rPr>
  </w:style>
  <w:style w:type="character" w:customStyle="1" w:styleId="16">
    <w:name w:val="批注框文本 Char"/>
    <w:basedOn w:val="9"/>
    <w:link w:val="3"/>
    <w:semiHidden/>
    <w:uiPriority w:val="99"/>
    <w:rPr>
      <w:rFonts w:ascii="Calibri" w:hAnsi="Calibri" w:cs="仿宋"/>
      <w:kern w:val="2"/>
      <w:sz w:val="18"/>
      <w:szCs w:val="18"/>
    </w:rPr>
  </w:style>
  <w:style w:type="paragraph" w:customStyle="1" w:styleId="17">
    <w:name w:val="Plain Text1"/>
    <w:basedOn w:val="1"/>
    <w:qFormat/>
    <w:uiPriority w:val="0"/>
    <w:rPr>
      <w:rFonts w:ascii="宋体" w:hAnsi="Courier New" w:eastAsia="仿宋" w:cs="Courier New"/>
      <w:sz w:val="34"/>
      <w:szCs w:val="34"/>
    </w:rPr>
  </w:style>
  <w:style w:type="character" w:customStyle="1" w:styleId="18">
    <w:name w:val="font51"/>
    <w:basedOn w:val="9"/>
    <w:uiPriority w:val="0"/>
    <w:rPr>
      <w:rFonts w:hint="default" w:ascii="Calibri" w:hAnsi="Calibri" w:cs="Calibri"/>
      <w:color w:val="000000"/>
      <w:sz w:val="22"/>
      <w:szCs w:val="22"/>
      <w:u w:val="none"/>
    </w:rPr>
  </w:style>
  <w:style w:type="character" w:customStyle="1" w:styleId="19">
    <w:name w:val="font6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90</Pages>
  <Words>39017</Words>
  <Characters>42103</Characters>
  <Lines>319</Lines>
  <Paragraphs>89</Paragraphs>
  <TotalTime>43</TotalTime>
  <ScaleCrop>false</ScaleCrop>
  <LinksUpToDate>false</LinksUpToDate>
  <CharactersWithSpaces>42440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2020-03-03T09:53:00Z</dcterms:created>
  <dc:creator>Administrator</dc:creator>
  <cp:lastModifiedBy>程龙</cp:lastModifiedBy>
  <dcterms:modified xsi:type="dcterms:W3CDTF">2024-01-04T05:01:49Z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C968870268D0462B992280679F4E1801</vt:lpwstr>
  </property>
  <property fmtid="{D5CDD505-2E9C-101B-9397-08002B2CF9AE}" pid="4" name="commondata">
    <vt:lpwstr>eyJoZGlkIjoiZWViNGQ4YjlhMzdjZDI2ZWE4MGI5NDQwMDMzYzk2Y2IifQ==</vt:lpwstr>
  </property>
</Properties>
</file>