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center"/>
        <w:rPr>
          <w:rFonts w:ascii="方正小标宋简体" w:hAnsi="仿宋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Cs/>
          <w:kern w:val="0"/>
          <w:sz w:val="44"/>
          <w:szCs w:val="44"/>
        </w:rPr>
        <w:t>部门整体支出绩效评价自评报告</w:t>
      </w:r>
    </w:p>
    <w:p>
      <w:pPr>
        <w:adjustRightInd w:val="0"/>
        <w:snapToGrid w:val="0"/>
        <w:spacing w:line="560" w:lineRule="atLeast"/>
        <w:jc w:val="center"/>
        <w:rPr>
          <w:rFonts w:ascii="方正小标宋简体" w:hAnsi="仿宋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Cs/>
          <w:kern w:val="0"/>
          <w:sz w:val="44"/>
          <w:szCs w:val="44"/>
        </w:rPr>
        <w:t>（    2021   年度）</w:t>
      </w:r>
    </w:p>
    <w:p>
      <w:pPr>
        <w:jc w:val="center"/>
        <w:rPr>
          <w:rFonts w:ascii="Times New Roman" w:hAnsi="Times New Roman" w:eastAsia="楷体_GB2312" w:cs="Times New Roman"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sz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126365</wp:posOffset>
                </wp:positionV>
                <wp:extent cx="161925" cy="1619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5pt;margin-top:9.95pt;height:12.75pt;width:12.75pt;z-index:251659264;mso-width-relative:page;mso-height-relative:page;" fillcolor="#FFFFFF" filled="t" stroked="t" coordsize="21600,21600" o:gfxdata="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29K/V1wAAAAkBAAAPAAAAAAAAAAEAIAAA&#10;ACIAAABkcnMvZG93bnJldi54bWxQSwECFAAUAAAACACHTuJAmEWPvUYCAACf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149225</wp:posOffset>
                </wp:positionV>
                <wp:extent cx="161925" cy="161925"/>
                <wp:effectExtent l="4445" t="4445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1.75pt;height:12.75pt;width:12.75pt;z-index:251660288;mso-width-relative:page;mso-height-relative:page;" fillcolor="#FFFFFF" filled="t" stroked="t" coordsize="21600,21600" o:gfxdata="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bHTdHZAAAACQEAAA8AAAAAAAAAAQAg&#10;AAAAIgAAAGRycy9kb3ducmV2LnhtbFBLAQIUABQAAAAIAIdO4kAQAXzPRgIAAJ8EAAAOAAAAAAAA&#10;AAEAIAAAACg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</w:rPr>
        <w:t>评价类型：项目实施过程评价项目完成结果评价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部门（单位）全称：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承德高新技术产业发区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林业水务局</w:t>
      </w: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主管部门审核意见：</w:t>
      </w:r>
      <w:bookmarkStart w:id="0" w:name="_Hlk42768429"/>
      <w:bookmarkEnd w:id="0"/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7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财政部门审核意见：</w:t>
      </w:r>
    </w:p>
    <w:p>
      <w:pPr>
        <w:spacing w:line="7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填报日期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2年3月9日</w:t>
      </w:r>
    </w:p>
    <w:p>
      <w:pPr>
        <w:spacing w:line="700" w:lineRule="exact"/>
        <w:jc w:val="center"/>
        <w:rPr>
          <w:rFonts w:ascii="Times New Roman" w:hAnsi="Times New Roman" w:eastAsia="仿宋_GB2312" w:cs="Times New Roman"/>
          <w:sz w:val="30"/>
        </w:rPr>
      </w:pPr>
    </w:p>
    <w:p>
      <w:pPr>
        <w:spacing w:line="7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高新技术产业开发区财政局制</w:t>
      </w:r>
    </w:p>
    <w:p>
      <w:pPr>
        <w:adjustRightInd w:val="0"/>
        <w:snapToGrid w:val="0"/>
        <w:spacing w:line="560" w:lineRule="atLeast"/>
        <w:rPr>
          <w:rFonts w:ascii="方正小标宋简体" w:hAnsi="仿宋" w:eastAsia="方正小标宋简体" w:cs="Times New Roman"/>
          <w:b/>
          <w:kern w:val="0"/>
          <w:sz w:val="36"/>
          <w:szCs w:val="36"/>
        </w:rPr>
      </w:pPr>
    </w:p>
    <w:p>
      <w:pPr>
        <w:widowControl/>
        <w:jc w:val="left"/>
        <w:rPr>
          <w:rFonts w:ascii="方正小标宋简体" w:hAnsi="仿宋" w:eastAsia="方正小标宋简体" w:cs="Times New Roman"/>
          <w:b/>
          <w:kern w:val="0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atLeast"/>
        <w:jc w:val="center"/>
        <w:rPr>
          <w:rFonts w:ascii="方正小标宋简体" w:hAnsi="仿宋" w:eastAsia="方正小标宋简体" w:cs="Times New Roman"/>
          <w:b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kern w:val="0"/>
          <w:sz w:val="44"/>
          <w:szCs w:val="44"/>
        </w:rPr>
        <w:t>部门整体支出绩效评价报告</w:t>
      </w:r>
    </w:p>
    <w:p>
      <w:pPr>
        <w:adjustRightInd w:val="0"/>
        <w:snapToGrid w:val="0"/>
        <w:spacing w:line="540" w:lineRule="atLeas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一、部门基本情况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（一）部门职能与机构设置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1.部门职能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贯彻落实中央、省、市、区关于林业水务工作的方针政策、法律法规及决策部署，组织编制发展规划及年度计划并组织实施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负责拟定全区资源保护发展的政策措施，林业和草原改革发展工作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sz w:val="32"/>
          <w:szCs w:val="32"/>
        </w:rPr>
        <w:t>负责指导水利设施的管理、保护、安全鉴定和综合利用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sz w:val="32"/>
          <w:szCs w:val="32"/>
        </w:rPr>
        <w:t>负责制定主要河道防御洪水方案，承办区防汛抗旱指挥部日常工作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sz w:val="32"/>
          <w:szCs w:val="32"/>
        </w:rPr>
        <w:t>负责文电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sz w:val="32"/>
          <w:szCs w:val="32"/>
        </w:rPr>
        <w:t>会务等河湖长办日常运转工作；制定河长制年度工作要点；组织实施河长制宣传工作，负责涉及生态环境保护工作的组织、协调、指导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承担上级部门及工管委交办的其它事项。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2.机构设置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我单位全称为承德高新技术产业开发区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林业水务局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，单位基本性质为行政单位，经费保障形式为财政拨款，从编制预算看，我单位为一级独立核算预算单位，为下属单位。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（二）人员情况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2021年末，我单位实有工作人员1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人，其中行政事业人员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长期聘用工程师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（三）部门年度整体收支情况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1.整体收支</w:t>
      </w:r>
    </w:p>
    <w:p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本部门2021年初预算经费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3482.88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453.25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3029.63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万元）；上年结转经费0万元（基本支出0万元，项目支出0万元）。</w:t>
      </w:r>
      <w:r>
        <w:rPr>
          <w:rFonts w:hint="eastAsia" w:ascii="仿宋" w:hAnsi="仿宋" w:eastAsia="仿宋" w:cs="Times New Roman"/>
          <w:sz w:val="32"/>
          <w:szCs w:val="32"/>
        </w:rPr>
        <w:t>2021年调整预算金额</w:t>
      </w:r>
      <w:bookmarkStart w:id="1" w:name="OLE_LINK3"/>
      <w:r>
        <w:rPr>
          <w:rFonts w:hint="eastAsia" w:ascii="仿宋" w:hAnsi="仿宋" w:eastAsia="仿宋" w:cs="Times New Roman"/>
          <w:sz w:val="32"/>
          <w:szCs w:val="32"/>
        </w:rPr>
        <w:t>安排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1043.741137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bookmarkEnd w:id="1"/>
      <w:r>
        <w:rPr>
          <w:rFonts w:hint="eastAsia" w:ascii="仿宋" w:hAnsi="仿宋" w:eastAsia="仿宋" w:cs="Times New Roman"/>
          <w:sz w:val="32"/>
          <w:szCs w:val="32"/>
        </w:rPr>
        <w:t>，其中:基本支出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416.975214</w:t>
      </w:r>
      <w:r>
        <w:rPr>
          <w:rFonts w:hint="eastAsia" w:ascii="仿宋" w:hAnsi="仿宋" w:eastAsia="仿宋" w:cs="Times New Roman"/>
          <w:sz w:val="32"/>
          <w:szCs w:val="32"/>
        </w:rPr>
        <w:t>万元；项目支出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622.493158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年末结转结余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4.272765万元。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2021年度决算收入总计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1043.741137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万元，其中基本支出收入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416.975214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万元，项目支出收入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622.493158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万元；上述收入均为财政拨款预算收入。</w:t>
      </w:r>
    </w:p>
    <w:p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2021年度决算支出总计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1043.741137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万元。其中:基本支出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416.975214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万元；项目支出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622.493158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年末结转结余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4.272765万元。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2.“三公经费”支出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2021年“三公经费”预算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3.政府采购支出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2021年政府采购预算0万元，实际未发生政府采购支出。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（四）部门（单位）主要履职情况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在高新区工管委的正确领导下，高新区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林业水务局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坚持以习近平新时代中国特色社会主义思想为指导，紧紧围绕区工管委中心工作。一是强化素质提升，重视理论学习；二是充分发挥部门职能，深入推进河长制、林长制工作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三是全力保障农村饮水安全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四是加强防汛和森林防火管理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五是强化规矩意识，争做廉洁表率；六是强化法治观念，树立良好形象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积极开展疫情防控相关工作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积极参与创建文明城市工作。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在区财政局的指导下完成了2021年预公开及2020年决算公开工作，本着厉行节约的原则，严格控制各项支出，“三公经费”支出控制在预算范内，加强内部管理制度建设，财务管理工作有了进一步提升。</w:t>
      </w:r>
    </w:p>
    <w:p>
      <w:pPr>
        <w:adjustRightInd w:val="0"/>
        <w:snapToGrid w:val="0"/>
        <w:spacing w:line="540" w:lineRule="atLeas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二、部门整体评价工作开展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（一）绩效评价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目的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严格落实《预算法》及省、市绩效管理工作的有关规定，进一步规范财政资金的管理，强化财政支出绩效理念，提升部门责任意识，提高资金使用效益，促进审计事业的发展。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绩效评价实施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过程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根据部门整体支出绩效评价的相关工作要求，我单位制定了自评方案，成立了由主要领导任组长的自评工作领导小组，对照评分表逐项自查，并对失分项查找问题原因，在工作中逐步改进。</w:t>
      </w:r>
    </w:p>
    <w:p>
      <w:pPr>
        <w:adjustRightInd w:val="0"/>
        <w:snapToGrid w:val="0"/>
        <w:spacing w:line="540" w:lineRule="atLeast"/>
        <w:ind w:firstLine="643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三、部门整体支出绩效评价分析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（一）投入绩效情况分析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投入绩效设定分值15分，其中目标设定5分，预算配置10分，我部门按财政部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门要求设定了绩效目标，财政供养人员在编制范围内、 “三公经费”未超预算及上年支出，我单位项目只有一项，项目支出保障了部门主要职责及重点任务的完成，投入绩效自评得分15分。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（二）过程绩效情况分析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程绩效设定分值55分，其中预算执行27分，预算管理18分，资产管理8分，预算绩效监控管理2分。我单位预算完成率70.85%，此项扣3分，实际得分0分、支付进度率半年支付进度率未达到评分标准要求，扣2分，此项得分4分，其他指标均按要求完成，过程绩效自评最终得分50分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（三）支出绩效情况分析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产出绩效设定分值15分，其中项目完成率4分，项目质量达标率4分，重点工作办结率4分，部门绩效自评比率3分，我部门按要求完成了年初制定的项目工作目标，各项工作均按时办结，产出绩效自评得分15分。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（四）效果绩效情况分析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果绩效设定分值15分，其中监督发现问题2分，工作成率5分，评价结果应用2分，结果应用创新1分，社会效益5分，我部门2021年未发现有违规问题，部门预算绩效管理按相关工作要求进行开展，我单位向区直各部门等服务单位征集了调查函，效果绩效自评得分15分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通过认真自评，我单位最终自评得分95分。</w:t>
      </w:r>
    </w:p>
    <w:p>
      <w:pPr>
        <w:numPr>
          <w:ilvl w:val="0"/>
          <w:numId w:val="2"/>
        </w:numPr>
        <w:adjustRightInd w:val="0"/>
        <w:snapToGrid w:val="0"/>
        <w:spacing w:line="540" w:lineRule="atLeas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存在的问题</w:t>
      </w:r>
    </w:p>
    <w:p>
      <w:pPr>
        <w:adjustRightInd w:val="0"/>
        <w:snapToGrid w:val="0"/>
        <w:spacing w:line="540" w:lineRule="atLeast"/>
        <w:ind w:firstLine="56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通过自评工作，我单位2021年在预算执行过程中存在预算完成率不高，支出进度缓慢等问题。</w:t>
      </w:r>
    </w:p>
    <w:p>
      <w:pPr>
        <w:numPr>
          <w:ilvl w:val="0"/>
          <w:numId w:val="2"/>
        </w:numPr>
        <w:adjustRightInd w:val="0"/>
        <w:snapToGrid w:val="0"/>
        <w:spacing w:line="540" w:lineRule="atLeas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整改措施或建议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在下一步的工作中，我单位将进一步加强支出管理，科学合理编制预算，合理安排支出进度，提高预算执行率提高财政资金使用效益。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附件：1、部门整体支出绩效评价指标体系评分表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2、部门整体支出绩效评价方案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3、部门绩效评价工作领导小组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D04E7"/>
    <w:multiLevelType w:val="singleLevel"/>
    <w:tmpl w:val="966D04E7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BE54F274"/>
    <w:multiLevelType w:val="singleLevel"/>
    <w:tmpl w:val="BE54F274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3E"/>
    <w:rsid w:val="000B1EEB"/>
    <w:rsid w:val="000F26BB"/>
    <w:rsid w:val="0039642D"/>
    <w:rsid w:val="003E4ADE"/>
    <w:rsid w:val="004420DE"/>
    <w:rsid w:val="004F6551"/>
    <w:rsid w:val="0077252B"/>
    <w:rsid w:val="007C45CC"/>
    <w:rsid w:val="007E45E2"/>
    <w:rsid w:val="00A3353E"/>
    <w:rsid w:val="00A8132E"/>
    <w:rsid w:val="00B23A9C"/>
    <w:rsid w:val="00B81034"/>
    <w:rsid w:val="00B92FF6"/>
    <w:rsid w:val="00CD7BDE"/>
    <w:rsid w:val="00D705D7"/>
    <w:rsid w:val="00E834C0"/>
    <w:rsid w:val="00E86E98"/>
    <w:rsid w:val="00EB528A"/>
    <w:rsid w:val="00F00EC7"/>
    <w:rsid w:val="00F2144F"/>
    <w:rsid w:val="00FA175F"/>
    <w:rsid w:val="07525D21"/>
    <w:rsid w:val="37372F72"/>
    <w:rsid w:val="382B63CA"/>
    <w:rsid w:val="456B6261"/>
    <w:rsid w:val="75A52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352</Words>
  <Characters>2013</Characters>
  <Lines>16</Lines>
  <Paragraphs>4</Paragraphs>
  <TotalTime>8</TotalTime>
  <ScaleCrop>false</ScaleCrop>
  <LinksUpToDate>false</LinksUpToDate>
  <CharactersWithSpaces>2361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2021-12-24T06:10:00Z</dcterms:created>
  <dc:creator>admin</dc:creator>
  <cp:lastModifiedBy>星海木屋</cp:lastModifiedBy>
  <cp:lastPrinted>2022-03-09T06:03:00Z</cp:lastPrinted>
  <dcterms:modified xsi:type="dcterms:W3CDTF">2022-03-10T07:56:57Z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8DEDFDD62A194BB080B80AED81E948CE</vt:lpwstr>
  </property>
</Properties>
</file>