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D8" w:rsidRDefault="00FC70D8">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承德高新技术产业开发区</w:t>
      </w:r>
    </w:p>
    <w:p w:rsidR="008D12C6" w:rsidRDefault="00354CBE" w:rsidP="00FC70D8">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202</w:t>
      </w:r>
      <w:r w:rsidR="00645F0A">
        <w:rPr>
          <w:rFonts w:ascii="方正小标宋简体" w:eastAsia="方正小标宋简体" w:hAnsi="方正小标宋简体" w:cs="方正小标宋简体" w:hint="eastAsia"/>
          <w:b/>
          <w:bCs/>
          <w:sz w:val="44"/>
          <w:szCs w:val="44"/>
        </w:rPr>
        <w:t>1</w:t>
      </w:r>
      <w:r>
        <w:rPr>
          <w:rFonts w:ascii="方正小标宋简体" w:eastAsia="方正小标宋简体" w:hAnsi="方正小标宋简体" w:cs="方正小标宋简体" w:hint="eastAsia"/>
          <w:b/>
          <w:bCs/>
          <w:sz w:val="44"/>
          <w:szCs w:val="44"/>
        </w:rPr>
        <w:t>年政府信息公开工作年度报告</w:t>
      </w:r>
    </w:p>
    <w:p w:rsidR="008D12C6" w:rsidRDefault="008D12C6">
      <w:pPr>
        <w:jc w:val="center"/>
        <w:rPr>
          <w:rFonts w:ascii="仿宋" w:eastAsia="仿宋" w:hAnsi="仿宋" w:cs="仿宋"/>
          <w:sz w:val="32"/>
          <w:szCs w:val="32"/>
        </w:rPr>
      </w:pPr>
    </w:p>
    <w:p w:rsidR="008D12C6" w:rsidRDefault="00354CB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sidR="000A4063">
        <w:rPr>
          <w:rFonts w:ascii="仿宋" w:eastAsia="仿宋" w:hAnsi="仿宋" w:cs="仿宋" w:hint="eastAsia"/>
          <w:sz w:val="32"/>
          <w:szCs w:val="32"/>
        </w:rPr>
        <w:t>2021年是中国共产党成立100周年，是开启全面建设社会主义现代化国家新征程、向第二个百年奋斗目标进军的开局起步之年，做好政务公开工作责任重大。</w:t>
      </w:r>
      <w:r>
        <w:rPr>
          <w:rFonts w:ascii="仿宋" w:eastAsia="仿宋" w:hAnsi="仿宋" w:cs="仿宋" w:hint="eastAsia"/>
          <w:sz w:val="32"/>
          <w:szCs w:val="32"/>
        </w:rPr>
        <w:t>202</w:t>
      </w:r>
      <w:r w:rsidR="00645F0A">
        <w:rPr>
          <w:rFonts w:ascii="仿宋" w:eastAsia="仿宋" w:hAnsi="仿宋" w:cs="仿宋" w:hint="eastAsia"/>
          <w:sz w:val="32"/>
          <w:szCs w:val="32"/>
        </w:rPr>
        <w:t>1</w:t>
      </w:r>
      <w:r>
        <w:rPr>
          <w:rFonts w:ascii="仿宋" w:eastAsia="仿宋" w:hAnsi="仿宋" w:cs="仿宋" w:hint="eastAsia"/>
          <w:sz w:val="32"/>
          <w:szCs w:val="32"/>
        </w:rPr>
        <w:t>年以来，</w:t>
      </w:r>
      <w:r w:rsidR="00FC70D8" w:rsidRPr="00FC70D8">
        <w:rPr>
          <w:rFonts w:ascii="仿宋" w:eastAsia="仿宋" w:hAnsi="仿宋" w:cs="仿宋" w:hint="eastAsia"/>
          <w:sz w:val="32"/>
          <w:szCs w:val="32"/>
        </w:rPr>
        <w:t>承德高新技术产业开发区</w:t>
      </w:r>
      <w:r>
        <w:rPr>
          <w:rFonts w:ascii="仿宋" w:eastAsia="仿宋" w:hAnsi="仿宋" w:cs="仿宋" w:hint="eastAsia"/>
          <w:sz w:val="32"/>
          <w:szCs w:val="32"/>
        </w:rPr>
        <w:t>高度重视政务信息公开工作，严格贯彻《中华人民共和国政府信息公开条例》《202</w:t>
      </w:r>
      <w:r w:rsidR="000A4063">
        <w:rPr>
          <w:rFonts w:ascii="仿宋" w:eastAsia="仿宋" w:hAnsi="仿宋" w:cs="仿宋" w:hint="eastAsia"/>
          <w:sz w:val="32"/>
          <w:szCs w:val="32"/>
        </w:rPr>
        <w:t>1</w:t>
      </w:r>
      <w:r>
        <w:rPr>
          <w:rFonts w:ascii="仿宋" w:eastAsia="仿宋" w:hAnsi="仿宋" w:cs="仿宋" w:hint="eastAsia"/>
          <w:sz w:val="32"/>
          <w:szCs w:val="32"/>
        </w:rPr>
        <w:t>年政务公开工作要点》</w:t>
      </w:r>
      <w:r w:rsidR="00FC70D8">
        <w:rPr>
          <w:rFonts w:ascii="仿宋" w:eastAsia="仿宋" w:hAnsi="仿宋" w:cs="仿宋" w:hint="eastAsia"/>
          <w:sz w:val="32"/>
          <w:szCs w:val="32"/>
        </w:rPr>
        <w:t>以及</w:t>
      </w:r>
      <w:r w:rsidR="00FC70D8" w:rsidRPr="00FC70D8">
        <w:rPr>
          <w:rFonts w:ascii="仿宋" w:eastAsia="仿宋" w:hAnsi="仿宋" w:cs="仿宋"/>
          <w:sz w:val="32"/>
          <w:szCs w:val="32"/>
        </w:rPr>
        <w:t>《关于政府信息公开工作年度报告有关事项的通知》</w:t>
      </w:r>
      <w:r>
        <w:rPr>
          <w:rFonts w:ascii="仿宋" w:eastAsia="仿宋" w:hAnsi="仿宋" w:cs="仿宋" w:hint="eastAsia"/>
          <w:sz w:val="32"/>
          <w:szCs w:val="32"/>
        </w:rPr>
        <w:t>等文件精神，坚持以公开为常态，以不公开为例外的原则，不断强化制度建设，深化公开内容，拓展公开渠道，切实回应百姓关心的热点难点问题。现将</w:t>
      </w:r>
      <w:r w:rsidR="00FC70D8" w:rsidRPr="00FC70D8">
        <w:rPr>
          <w:rFonts w:ascii="仿宋" w:eastAsia="仿宋" w:hAnsi="仿宋" w:cs="仿宋" w:hint="eastAsia"/>
          <w:sz w:val="32"/>
          <w:szCs w:val="32"/>
        </w:rPr>
        <w:t>承德高新技术产业开发区</w:t>
      </w:r>
      <w:r>
        <w:rPr>
          <w:rFonts w:ascii="仿宋" w:eastAsia="仿宋" w:hAnsi="仿宋" w:cs="仿宋" w:hint="eastAsia"/>
          <w:sz w:val="32"/>
          <w:szCs w:val="32"/>
        </w:rPr>
        <w:t>202</w:t>
      </w:r>
      <w:r w:rsidR="000A4063">
        <w:rPr>
          <w:rFonts w:ascii="仿宋" w:eastAsia="仿宋" w:hAnsi="仿宋" w:cs="仿宋" w:hint="eastAsia"/>
          <w:sz w:val="32"/>
          <w:szCs w:val="32"/>
        </w:rPr>
        <w:t>1</w:t>
      </w:r>
      <w:r>
        <w:rPr>
          <w:rFonts w:ascii="仿宋" w:eastAsia="仿宋" w:hAnsi="仿宋" w:cs="仿宋" w:hint="eastAsia"/>
          <w:sz w:val="32"/>
          <w:szCs w:val="32"/>
        </w:rPr>
        <w:t>年政务信息工作报告如下：</w:t>
      </w:r>
    </w:p>
    <w:p w:rsidR="008D12C6" w:rsidRDefault="00354CBE" w:rsidP="00586BEA">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一、政务信息公开具体完成情况。</w:t>
      </w:r>
    </w:p>
    <w:p w:rsidR="008D12C6" w:rsidRDefault="00354CBE" w:rsidP="000A4063">
      <w:pPr>
        <w:spacing w:line="560" w:lineRule="exact"/>
        <w:ind w:firstLineChars="200" w:firstLine="643"/>
        <w:rPr>
          <w:rFonts w:ascii="仿宋" w:eastAsia="仿宋" w:hAnsi="仿宋" w:cs="仿宋"/>
          <w:sz w:val="32"/>
          <w:szCs w:val="32"/>
        </w:rPr>
      </w:pPr>
      <w:r w:rsidRPr="000A4063">
        <w:rPr>
          <w:rFonts w:ascii="仿宋" w:eastAsia="仿宋" w:hAnsi="仿宋" w:cs="仿宋" w:hint="eastAsia"/>
          <w:b/>
          <w:bCs/>
          <w:sz w:val="32"/>
          <w:szCs w:val="32"/>
        </w:rPr>
        <w:t>一是</w:t>
      </w:r>
      <w:r w:rsidRPr="000A4063">
        <w:rPr>
          <w:rFonts w:ascii="仿宋" w:eastAsia="仿宋" w:hAnsi="仿宋" w:cs="仿宋" w:hint="eastAsia"/>
          <w:b/>
          <w:sz w:val="32"/>
          <w:szCs w:val="32"/>
        </w:rPr>
        <w:t>强化工作机制。</w:t>
      </w:r>
      <w:r>
        <w:rPr>
          <w:rFonts w:ascii="仿宋" w:eastAsia="仿宋" w:hAnsi="仿宋" w:cs="仿宋" w:hint="eastAsia"/>
          <w:sz w:val="32"/>
          <w:szCs w:val="32"/>
        </w:rPr>
        <w:t>及时调整区政务公开工作领导小组，完善政务公开协调机制。</w:t>
      </w:r>
      <w:r>
        <w:rPr>
          <w:rFonts w:ascii="仿宋" w:eastAsia="仿宋" w:hAnsi="仿宋" w:cs="仿宋" w:hint="eastAsia"/>
          <w:bCs/>
          <w:sz w:val="32"/>
          <w:szCs w:val="32"/>
        </w:rPr>
        <w:t>按季度</w:t>
      </w:r>
      <w:r>
        <w:rPr>
          <w:rFonts w:ascii="仿宋" w:eastAsia="仿宋" w:hAnsi="仿宋" w:cs="仿宋" w:hint="eastAsia"/>
          <w:kern w:val="0"/>
          <w:sz w:val="32"/>
          <w:szCs w:val="32"/>
        </w:rPr>
        <w:t>对全区各部门政务信息公开工作进行不定期检查，检查结果纳入年终考核。</w:t>
      </w:r>
      <w:r>
        <w:rPr>
          <w:rFonts w:ascii="仿宋" w:eastAsia="仿宋" w:hAnsi="仿宋" w:cs="仿宋" w:hint="eastAsia"/>
          <w:sz w:val="32"/>
          <w:szCs w:val="32"/>
        </w:rPr>
        <w:t>印发《承德高新区党政办关于印发承德高新区管委会政务信息公开工作考核办法》等文件，进一步规范我区政务公开工作机制，提升我区政务公开工作。</w:t>
      </w:r>
    </w:p>
    <w:p w:rsidR="008D12C6" w:rsidRDefault="00354CBE" w:rsidP="00DF6AFB">
      <w:pPr>
        <w:spacing w:line="560" w:lineRule="exact"/>
        <w:ind w:firstLineChars="200" w:firstLine="643"/>
        <w:rPr>
          <w:rFonts w:ascii="仿宋_GB2312" w:eastAsia="仿宋_GB2312" w:hAnsi="仿宋_GB2312" w:cs="仿宋_GB2312"/>
          <w:sz w:val="32"/>
          <w:szCs w:val="32"/>
        </w:rPr>
      </w:pPr>
      <w:r w:rsidRPr="00DF6AFB">
        <w:rPr>
          <w:rFonts w:ascii="仿宋" w:eastAsia="仿宋" w:hAnsi="仿宋" w:cs="仿宋" w:hint="eastAsia"/>
          <w:b/>
          <w:bCs/>
          <w:sz w:val="32"/>
          <w:szCs w:val="32"/>
        </w:rPr>
        <w:t>二是</w:t>
      </w:r>
      <w:r w:rsidR="00586BEA" w:rsidRPr="00586BEA">
        <w:rPr>
          <w:rFonts w:ascii="仿宋" w:eastAsia="仿宋" w:hAnsi="仿宋" w:cs="仿宋" w:hint="eastAsia"/>
          <w:b/>
          <w:sz w:val="32"/>
          <w:szCs w:val="32"/>
        </w:rPr>
        <w:t>承德高新区</w:t>
      </w:r>
      <w:r w:rsidR="00DF6AFB" w:rsidRPr="00DF6AFB">
        <w:rPr>
          <w:rFonts w:ascii="仿宋_GB2312" w:eastAsia="仿宋_GB2312" w:hAnsi="仿宋_GB2312" w:cs="仿宋_GB2312" w:hint="eastAsia"/>
          <w:b/>
          <w:sz w:val="32"/>
          <w:szCs w:val="32"/>
        </w:rPr>
        <w:t>加大政务信息公开数量</w:t>
      </w:r>
      <w:r w:rsidR="00DF6AFB">
        <w:rPr>
          <w:rFonts w:ascii="仿宋_GB2312" w:eastAsia="仿宋_GB2312" w:hAnsi="仿宋_GB2312" w:cs="仿宋_GB2312" w:hint="eastAsia"/>
          <w:sz w:val="32"/>
          <w:szCs w:val="32"/>
        </w:rPr>
        <w:t>。涉及重点领域信息</w:t>
      </w:r>
      <w:r>
        <w:rPr>
          <w:rFonts w:ascii="仿宋_GB2312" w:eastAsia="仿宋_GB2312" w:hAnsi="仿宋_GB2312" w:cs="仿宋_GB2312" w:hint="eastAsia"/>
          <w:sz w:val="32"/>
          <w:szCs w:val="32"/>
        </w:rPr>
        <w:t>、重点工程建设、土地征收、棚户区改造、扶贫攻坚、公共服务等各类信息</w:t>
      </w:r>
      <w:r w:rsidR="00F243F6">
        <w:rPr>
          <w:rFonts w:ascii="仿宋_GB2312" w:eastAsia="仿宋_GB2312" w:hAnsi="仿宋_GB2312" w:cs="仿宋_GB2312" w:hint="eastAsia"/>
          <w:sz w:val="32"/>
          <w:szCs w:val="32"/>
        </w:rPr>
        <w:t>1165</w:t>
      </w:r>
      <w:r w:rsidR="005769D3">
        <w:rPr>
          <w:rFonts w:ascii="仿宋_GB2312" w:eastAsia="仿宋_GB2312" w:hAnsi="仿宋_GB2312" w:cs="仿宋_GB2312" w:hint="eastAsia"/>
          <w:sz w:val="32"/>
          <w:szCs w:val="32"/>
        </w:rPr>
        <w:t>条</w:t>
      </w:r>
      <w:r w:rsidR="00F243F6">
        <w:rPr>
          <w:rFonts w:ascii="仿宋_GB2312" w:eastAsia="仿宋_GB2312" w:hAnsi="仿宋_GB2312" w:cs="仿宋_GB2312" w:hint="eastAsia"/>
          <w:sz w:val="32"/>
          <w:szCs w:val="32"/>
        </w:rPr>
        <w:t>。</w:t>
      </w:r>
      <w:r w:rsidR="00836485">
        <w:rPr>
          <w:rFonts w:ascii="仿宋_GB2312" w:eastAsia="仿宋_GB2312" w:hAnsi="仿宋_GB2312" w:cs="仿宋_GB2312" w:hint="eastAsia"/>
          <w:sz w:val="32"/>
          <w:szCs w:val="32"/>
        </w:rPr>
        <w:t>政务新媒体共发布信息1755条，其中承德高新区微博账号发布351条，承德高新区微信</w:t>
      </w:r>
      <w:r w:rsidR="00836485">
        <w:rPr>
          <w:rFonts w:ascii="仿宋_GB2312" w:eastAsia="仿宋_GB2312" w:hAnsi="仿宋_GB2312" w:cs="仿宋_GB2312" w:hint="eastAsia"/>
          <w:sz w:val="32"/>
          <w:szCs w:val="32"/>
        </w:rPr>
        <w:lastRenderedPageBreak/>
        <w:t>账号发布1404条。</w:t>
      </w:r>
      <w:r w:rsidR="00F243F6">
        <w:rPr>
          <w:rFonts w:ascii="仿宋_GB2312" w:eastAsia="仿宋_GB2312" w:hAnsi="仿宋_GB2312" w:cs="仿宋_GB2312" w:hint="eastAsia"/>
          <w:sz w:val="32"/>
          <w:szCs w:val="32"/>
        </w:rPr>
        <w:t>承德高新区</w:t>
      </w:r>
      <w:r>
        <w:rPr>
          <w:rFonts w:ascii="仿宋_GB2312" w:eastAsia="仿宋_GB2312" w:hAnsi="仿宋_GB2312" w:cs="仿宋_GB2312" w:hint="eastAsia"/>
          <w:sz w:val="32"/>
          <w:szCs w:val="32"/>
        </w:rPr>
        <w:t>按季度向市档案局上报高新区政府信息公开材料，全年共上报信息</w:t>
      </w:r>
      <w:r w:rsidR="00DF6AFB">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条。</w:t>
      </w:r>
    </w:p>
    <w:p w:rsidR="008D12C6" w:rsidRDefault="00354CBE" w:rsidP="003429CA">
      <w:pPr>
        <w:pStyle w:val="a0"/>
        <w:spacing w:line="560" w:lineRule="exact"/>
        <w:ind w:firstLineChars="196" w:firstLine="630"/>
        <w:rPr>
          <w:rFonts w:ascii="仿宋_GB2312" w:eastAsia="仿宋_GB2312" w:hAnsi="仿宋_GB2312" w:cs="仿宋_GB2312"/>
          <w:sz w:val="32"/>
          <w:szCs w:val="32"/>
        </w:rPr>
      </w:pPr>
      <w:r w:rsidRPr="003429CA">
        <w:rPr>
          <w:rFonts w:ascii="仿宋_GB2312" w:eastAsia="仿宋_GB2312" w:hAnsi="仿宋_GB2312" w:cs="仿宋_GB2312" w:hint="eastAsia"/>
          <w:b/>
          <w:bCs/>
          <w:sz w:val="32"/>
          <w:szCs w:val="32"/>
        </w:rPr>
        <w:t>三是</w:t>
      </w:r>
      <w:r w:rsidR="007C0C35" w:rsidRPr="007C0C35">
        <w:rPr>
          <w:rFonts w:ascii="仿宋" w:eastAsia="仿宋" w:hAnsi="仿宋" w:cs="仿宋" w:hint="eastAsia"/>
          <w:b/>
          <w:sz w:val="32"/>
          <w:szCs w:val="32"/>
        </w:rPr>
        <w:t>承德高新区</w:t>
      </w:r>
      <w:r w:rsidRPr="003429CA">
        <w:rPr>
          <w:rFonts w:ascii="仿宋_GB2312" w:eastAsia="仿宋_GB2312" w:hAnsi="仿宋_GB2312" w:cs="仿宋_GB2312" w:hint="eastAsia"/>
          <w:b/>
          <w:sz w:val="32"/>
          <w:szCs w:val="32"/>
        </w:rPr>
        <w:t>持续加强政策解读工作。</w:t>
      </w:r>
      <w:r>
        <w:rPr>
          <w:rFonts w:ascii="仿宋_GB2312" w:eastAsia="仿宋_GB2312" w:hAnsi="仿宋_GB2312" w:cs="仿宋_GB2312" w:hint="eastAsia"/>
          <w:sz w:val="32"/>
          <w:szCs w:val="32"/>
        </w:rPr>
        <w:t>协调我区各部门解读与老百姓息息相关的重要政策文件。严格按照政策解读流程，明确解读主体、时限、内容、形式，及时在区门户网站公开。</w:t>
      </w:r>
      <w:r w:rsidR="00836485">
        <w:rPr>
          <w:rFonts w:ascii="仿宋_GB2312" w:eastAsia="仿宋_GB2312" w:hAnsi="仿宋_GB2312" w:cs="仿宋_GB2312" w:hint="eastAsia"/>
          <w:sz w:val="32"/>
          <w:szCs w:val="32"/>
        </w:rPr>
        <w:t>高新区共解读信息12条。</w:t>
      </w:r>
    </w:p>
    <w:p w:rsidR="008D12C6" w:rsidRDefault="00354CBE" w:rsidP="00F952F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二、主动公开情况</w:t>
      </w:r>
    </w:p>
    <w:tbl>
      <w:tblPr>
        <w:tblStyle w:val="a6"/>
        <w:tblW w:w="0" w:type="auto"/>
        <w:tblLook w:val="04A0"/>
      </w:tblPr>
      <w:tblGrid>
        <w:gridCol w:w="2130"/>
        <w:gridCol w:w="2130"/>
        <w:gridCol w:w="2131"/>
        <w:gridCol w:w="2131"/>
      </w:tblGrid>
      <w:tr w:rsidR="00821AEE" w:rsidTr="00050DBA">
        <w:tc>
          <w:tcPr>
            <w:tcW w:w="8522" w:type="dxa"/>
            <w:gridSpan w:val="4"/>
            <w:shd w:val="solid" w:color="9CC2E5" w:themeColor="accent1" w:themeTint="99" w:fill="auto"/>
          </w:tcPr>
          <w:p w:rsidR="00821AEE" w:rsidRDefault="00821AEE" w:rsidP="00821AEE">
            <w:pPr>
              <w:jc w:val="center"/>
            </w:pPr>
            <w:r w:rsidRPr="00821AEE">
              <w:rPr>
                <w:rFonts w:hint="eastAsia"/>
              </w:rPr>
              <w:t>第二十条第（一）项</w:t>
            </w:r>
          </w:p>
        </w:tc>
      </w:tr>
      <w:tr w:rsidR="00821AEE" w:rsidTr="00821AEE">
        <w:tc>
          <w:tcPr>
            <w:tcW w:w="2130" w:type="dxa"/>
          </w:tcPr>
          <w:p w:rsidR="00821AEE" w:rsidRDefault="00821AEE" w:rsidP="00821AEE">
            <w:pPr>
              <w:jc w:val="center"/>
            </w:pPr>
            <w:r>
              <w:rPr>
                <w:rFonts w:hint="eastAsia"/>
              </w:rPr>
              <w:t>信息内容</w:t>
            </w:r>
          </w:p>
        </w:tc>
        <w:tc>
          <w:tcPr>
            <w:tcW w:w="2130" w:type="dxa"/>
          </w:tcPr>
          <w:p w:rsidR="00821AEE" w:rsidRDefault="00821AEE" w:rsidP="00821AEE">
            <w:pPr>
              <w:jc w:val="center"/>
            </w:pPr>
            <w:r>
              <w:rPr>
                <w:rFonts w:hint="eastAsia"/>
              </w:rPr>
              <w:t>本年度发件数</w:t>
            </w:r>
          </w:p>
        </w:tc>
        <w:tc>
          <w:tcPr>
            <w:tcW w:w="2131" w:type="dxa"/>
          </w:tcPr>
          <w:p w:rsidR="00821AEE" w:rsidRDefault="00821AEE" w:rsidP="00821AEE">
            <w:pPr>
              <w:jc w:val="center"/>
            </w:pPr>
            <w:r>
              <w:rPr>
                <w:rFonts w:hint="eastAsia"/>
              </w:rPr>
              <w:t>本年度废止数</w:t>
            </w:r>
          </w:p>
        </w:tc>
        <w:tc>
          <w:tcPr>
            <w:tcW w:w="2131" w:type="dxa"/>
          </w:tcPr>
          <w:p w:rsidR="00821AEE" w:rsidRDefault="00821AEE" w:rsidP="00821AEE">
            <w:pPr>
              <w:jc w:val="center"/>
            </w:pPr>
            <w:r>
              <w:rPr>
                <w:rFonts w:hint="eastAsia"/>
              </w:rPr>
              <w:t>现行有效件数</w:t>
            </w:r>
          </w:p>
        </w:tc>
      </w:tr>
      <w:tr w:rsidR="00821AEE" w:rsidTr="00821AEE">
        <w:tc>
          <w:tcPr>
            <w:tcW w:w="2130" w:type="dxa"/>
          </w:tcPr>
          <w:p w:rsidR="00821AEE" w:rsidRDefault="00821AEE" w:rsidP="00B83FEA">
            <w:r>
              <w:rPr>
                <w:rFonts w:hint="eastAsia"/>
              </w:rPr>
              <w:t>规章</w:t>
            </w:r>
          </w:p>
        </w:tc>
        <w:tc>
          <w:tcPr>
            <w:tcW w:w="2130" w:type="dxa"/>
          </w:tcPr>
          <w:p w:rsidR="00821AEE" w:rsidRDefault="00586BEA" w:rsidP="00B83FEA">
            <w:r>
              <w:rPr>
                <w:rFonts w:hint="eastAsia"/>
              </w:rPr>
              <w:t>0</w:t>
            </w:r>
          </w:p>
        </w:tc>
        <w:tc>
          <w:tcPr>
            <w:tcW w:w="2131" w:type="dxa"/>
          </w:tcPr>
          <w:p w:rsidR="00821AEE" w:rsidRDefault="00365ED6" w:rsidP="00B83FEA">
            <w:r>
              <w:rPr>
                <w:rFonts w:hint="eastAsia"/>
              </w:rPr>
              <w:t>0</w:t>
            </w:r>
          </w:p>
        </w:tc>
        <w:tc>
          <w:tcPr>
            <w:tcW w:w="2131" w:type="dxa"/>
          </w:tcPr>
          <w:p w:rsidR="00821AEE" w:rsidRDefault="00586BEA" w:rsidP="00B83FEA">
            <w:r>
              <w:rPr>
                <w:rFonts w:hint="eastAsia"/>
              </w:rPr>
              <w:t>0</w:t>
            </w:r>
          </w:p>
        </w:tc>
      </w:tr>
      <w:tr w:rsidR="00821AEE" w:rsidTr="00050DBA">
        <w:tc>
          <w:tcPr>
            <w:tcW w:w="2130" w:type="dxa"/>
            <w:tcBorders>
              <w:bottom w:val="single" w:sz="4" w:space="0" w:color="000000" w:themeColor="text1"/>
            </w:tcBorders>
          </w:tcPr>
          <w:p w:rsidR="00821AEE" w:rsidRDefault="00821AEE" w:rsidP="00B83FEA">
            <w:r>
              <w:rPr>
                <w:rFonts w:hint="eastAsia"/>
              </w:rPr>
              <w:t>行政规范性文件</w:t>
            </w:r>
          </w:p>
        </w:tc>
        <w:tc>
          <w:tcPr>
            <w:tcW w:w="2130" w:type="dxa"/>
            <w:tcBorders>
              <w:bottom w:val="single" w:sz="4" w:space="0" w:color="000000" w:themeColor="text1"/>
            </w:tcBorders>
          </w:tcPr>
          <w:p w:rsidR="00821AEE" w:rsidRDefault="00586BEA" w:rsidP="00B83FEA">
            <w:r>
              <w:rPr>
                <w:rFonts w:hint="eastAsia"/>
              </w:rPr>
              <w:t>0</w:t>
            </w:r>
          </w:p>
        </w:tc>
        <w:tc>
          <w:tcPr>
            <w:tcW w:w="2131" w:type="dxa"/>
            <w:tcBorders>
              <w:bottom w:val="single" w:sz="4" w:space="0" w:color="000000" w:themeColor="text1"/>
            </w:tcBorders>
          </w:tcPr>
          <w:p w:rsidR="00821AEE" w:rsidRDefault="00365ED6" w:rsidP="00B83FEA">
            <w:r>
              <w:rPr>
                <w:rFonts w:hint="eastAsia"/>
              </w:rPr>
              <w:t>0</w:t>
            </w:r>
          </w:p>
        </w:tc>
        <w:tc>
          <w:tcPr>
            <w:tcW w:w="2131" w:type="dxa"/>
            <w:tcBorders>
              <w:bottom w:val="single" w:sz="4" w:space="0" w:color="000000" w:themeColor="text1"/>
            </w:tcBorders>
          </w:tcPr>
          <w:p w:rsidR="00821AEE" w:rsidRDefault="00586BEA" w:rsidP="00B83FEA">
            <w:r>
              <w:rPr>
                <w:rFonts w:hint="eastAsia"/>
              </w:rPr>
              <w:t>0</w:t>
            </w:r>
          </w:p>
        </w:tc>
      </w:tr>
      <w:tr w:rsidR="006D7671" w:rsidTr="00050DBA">
        <w:tc>
          <w:tcPr>
            <w:tcW w:w="8522" w:type="dxa"/>
            <w:gridSpan w:val="4"/>
            <w:shd w:val="solid" w:color="9CC2E5" w:themeColor="accent1" w:themeTint="99" w:fill="auto"/>
          </w:tcPr>
          <w:p w:rsidR="006D7671" w:rsidRDefault="006D7671" w:rsidP="006D7671">
            <w:pPr>
              <w:tabs>
                <w:tab w:val="left" w:pos="3288"/>
              </w:tabs>
            </w:pPr>
            <w:r>
              <w:tab/>
            </w:r>
            <w:r w:rsidRPr="00821AEE">
              <w:rPr>
                <w:rFonts w:hint="eastAsia"/>
              </w:rPr>
              <w:t>第二十条第（</w:t>
            </w:r>
            <w:r>
              <w:rPr>
                <w:rFonts w:hint="eastAsia"/>
              </w:rPr>
              <w:t>五</w:t>
            </w:r>
            <w:r w:rsidRPr="00821AEE">
              <w:rPr>
                <w:rFonts w:hint="eastAsia"/>
              </w:rPr>
              <w:t>）项</w:t>
            </w:r>
          </w:p>
        </w:tc>
      </w:tr>
      <w:tr w:rsidR="006D7671" w:rsidTr="008349AC">
        <w:tc>
          <w:tcPr>
            <w:tcW w:w="2130" w:type="dxa"/>
          </w:tcPr>
          <w:p w:rsidR="006D7671" w:rsidRDefault="006D7671" w:rsidP="006D7671">
            <w:pPr>
              <w:jc w:val="center"/>
            </w:pPr>
            <w:r>
              <w:rPr>
                <w:rFonts w:hint="eastAsia"/>
              </w:rPr>
              <w:t>信息内容</w:t>
            </w:r>
          </w:p>
        </w:tc>
        <w:tc>
          <w:tcPr>
            <w:tcW w:w="6392" w:type="dxa"/>
            <w:gridSpan w:val="3"/>
          </w:tcPr>
          <w:p w:rsidR="006D7671" w:rsidRDefault="006D7671" w:rsidP="006D7671">
            <w:pPr>
              <w:jc w:val="center"/>
            </w:pPr>
            <w:r>
              <w:rPr>
                <w:rFonts w:hint="eastAsia"/>
              </w:rPr>
              <w:t>本年处理决定数量</w:t>
            </w:r>
          </w:p>
        </w:tc>
      </w:tr>
      <w:tr w:rsidR="006D7671" w:rsidTr="00050DBA">
        <w:tc>
          <w:tcPr>
            <w:tcW w:w="2130" w:type="dxa"/>
            <w:tcBorders>
              <w:bottom w:val="single" w:sz="4" w:space="0" w:color="000000" w:themeColor="text1"/>
            </w:tcBorders>
          </w:tcPr>
          <w:p w:rsidR="006D7671" w:rsidRDefault="006D7671" w:rsidP="006D7671">
            <w:pPr>
              <w:jc w:val="left"/>
            </w:pPr>
            <w:r>
              <w:rPr>
                <w:rFonts w:hint="eastAsia"/>
              </w:rPr>
              <w:t>行政许可</w:t>
            </w:r>
          </w:p>
        </w:tc>
        <w:tc>
          <w:tcPr>
            <w:tcW w:w="6392" w:type="dxa"/>
            <w:gridSpan w:val="3"/>
            <w:tcBorders>
              <w:bottom w:val="single" w:sz="4" w:space="0" w:color="000000" w:themeColor="text1"/>
            </w:tcBorders>
          </w:tcPr>
          <w:p w:rsidR="006D7671" w:rsidRDefault="00891735" w:rsidP="00050DBA">
            <w:pPr>
              <w:jc w:val="center"/>
            </w:pPr>
            <w:r>
              <w:rPr>
                <w:rFonts w:hint="eastAsia"/>
              </w:rPr>
              <w:t>739</w:t>
            </w:r>
          </w:p>
        </w:tc>
      </w:tr>
      <w:tr w:rsidR="006D7671" w:rsidTr="00050DBA">
        <w:tc>
          <w:tcPr>
            <w:tcW w:w="8522" w:type="dxa"/>
            <w:gridSpan w:val="4"/>
            <w:shd w:val="solid" w:color="9CC2E5" w:themeColor="accent1" w:themeTint="99" w:fill="auto"/>
          </w:tcPr>
          <w:p w:rsidR="006D7671" w:rsidRDefault="006D7671" w:rsidP="006D7671">
            <w:pPr>
              <w:jc w:val="center"/>
            </w:pPr>
            <w:r w:rsidRPr="00821AEE">
              <w:rPr>
                <w:rFonts w:hint="eastAsia"/>
              </w:rPr>
              <w:t>第二十条第（</w:t>
            </w:r>
            <w:r>
              <w:rPr>
                <w:rFonts w:hint="eastAsia"/>
              </w:rPr>
              <w:t>六</w:t>
            </w:r>
            <w:r w:rsidRPr="00821AEE">
              <w:rPr>
                <w:rFonts w:hint="eastAsia"/>
              </w:rPr>
              <w:t>）项</w:t>
            </w:r>
          </w:p>
        </w:tc>
      </w:tr>
      <w:tr w:rsidR="006D7671" w:rsidTr="008A7F6E">
        <w:tc>
          <w:tcPr>
            <w:tcW w:w="2130" w:type="dxa"/>
          </w:tcPr>
          <w:p w:rsidR="006D7671" w:rsidRDefault="006D7671" w:rsidP="006D7671">
            <w:pPr>
              <w:jc w:val="center"/>
            </w:pPr>
            <w:r>
              <w:rPr>
                <w:rFonts w:hint="eastAsia"/>
              </w:rPr>
              <w:t>信息内容</w:t>
            </w:r>
          </w:p>
        </w:tc>
        <w:tc>
          <w:tcPr>
            <w:tcW w:w="6392" w:type="dxa"/>
            <w:gridSpan w:val="3"/>
          </w:tcPr>
          <w:p w:rsidR="006D7671" w:rsidRDefault="006D7671" w:rsidP="006D7671">
            <w:pPr>
              <w:jc w:val="center"/>
            </w:pPr>
            <w:r>
              <w:rPr>
                <w:rFonts w:hint="eastAsia"/>
              </w:rPr>
              <w:t>本年处理决定数量</w:t>
            </w:r>
          </w:p>
        </w:tc>
      </w:tr>
      <w:tr w:rsidR="006D7671" w:rsidTr="004C4F6F">
        <w:tc>
          <w:tcPr>
            <w:tcW w:w="2130" w:type="dxa"/>
          </w:tcPr>
          <w:p w:rsidR="006D7671" w:rsidRDefault="006D7671" w:rsidP="00B83FEA">
            <w:r>
              <w:rPr>
                <w:rFonts w:hint="eastAsia"/>
              </w:rPr>
              <w:t>行政处罚</w:t>
            </w:r>
          </w:p>
        </w:tc>
        <w:tc>
          <w:tcPr>
            <w:tcW w:w="6392" w:type="dxa"/>
            <w:gridSpan w:val="3"/>
          </w:tcPr>
          <w:p w:rsidR="006D7671" w:rsidRDefault="001E411B" w:rsidP="00050DBA">
            <w:pPr>
              <w:jc w:val="center"/>
            </w:pPr>
            <w:r>
              <w:rPr>
                <w:rFonts w:hint="eastAsia"/>
              </w:rPr>
              <w:t>138</w:t>
            </w:r>
          </w:p>
        </w:tc>
      </w:tr>
      <w:tr w:rsidR="006D7671" w:rsidTr="00050DBA">
        <w:tc>
          <w:tcPr>
            <w:tcW w:w="2130" w:type="dxa"/>
            <w:tcBorders>
              <w:bottom w:val="single" w:sz="4" w:space="0" w:color="000000" w:themeColor="text1"/>
            </w:tcBorders>
          </w:tcPr>
          <w:p w:rsidR="006D7671" w:rsidRDefault="006D7671" w:rsidP="00B83FEA">
            <w:r>
              <w:rPr>
                <w:rFonts w:hint="eastAsia"/>
              </w:rPr>
              <w:t>行政强制</w:t>
            </w:r>
          </w:p>
        </w:tc>
        <w:tc>
          <w:tcPr>
            <w:tcW w:w="6392" w:type="dxa"/>
            <w:gridSpan w:val="3"/>
            <w:tcBorders>
              <w:bottom w:val="single" w:sz="4" w:space="0" w:color="000000" w:themeColor="text1"/>
            </w:tcBorders>
          </w:tcPr>
          <w:p w:rsidR="006D7671" w:rsidRDefault="00050DBA" w:rsidP="00050DBA">
            <w:pPr>
              <w:jc w:val="center"/>
            </w:pPr>
            <w:r>
              <w:rPr>
                <w:rFonts w:hint="eastAsia"/>
              </w:rPr>
              <w:t>0</w:t>
            </w:r>
          </w:p>
        </w:tc>
      </w:tr>
      <w:tr w:rsidR="006D7671" w:rsidTr="00050DBA">
        <w:tc>
          <w:tcPr>
            <w:tcW w:w="8522" w:type="dxa"/>
            <w:gridSpan w:val="4"/>
            <w:shd w:val="solid" w:color="9CC2E5" w:themeColor="accent1" w:themeTint="99" w:fill="auto"/>
          </w:tcPr>
          <w:p w:rsidR="006D7671" w:rsidRDefault="006D7671" w:rsidP="006D7671">
            <w:pPr>
              <w:tabs>
                <w:tab w:val="left" w:pos="1440"/>
              </w:tabs>
              <w:jc w:val="center"/>
            </w:pPr>
            <w:r w:rsidRPr="00821AEE">
              <w:rPr>
                <w:rFonts w:hint="eastAsia"/>
              </w:rPr>
              <w:t>第二十条第（</w:t>
            </w:r>
            <w:r>
              <w:rPr>
                <w:rFonts w:hint="eastAsia"/>
              </w:rPr>
              <w:t>八</w:t>
            </w:r>
            <w:r w:rsidRPr="00821AEE">
              <w:rPr>
                <w:rFonts w:hint="eastAsia"/>
              </w:rPr>
              <w:t>）项</w:t>
            </w:r>
          </w:p>
        </w:tc>
      </w:tr>
      <w:tr w:rsidR="00050DBA" w:rsidTr="00E933CD">
        <w:tc>
          <w:tcPr>
            <w:tcW w:w="2130" w:type="dxa"/>
          </w:tcPr>
          <w:p w:rsidR="00050DBA" w:rsidRDefault="00050DBA" w:rsidP="00050DBA">
            <w:pPr>
              <w:jc w:val="center"/>
            </w:pPr>
            <w:r>
              <w:rPr>
                <w:rFonts w:hint="eastAsia"/>
              </w:rPr>
              <w:t>信息内容</w:t>
            </w:r>
          </w:p>
        </w:tc>
        <w:tc>
          <w:tcPr>
            <w:tcW w:w="6392" w:type="dxa"/>
            <w:gridSpan w:val="3"/>
          </w:tcPr>
          <w:p w:rsidR="00050DBA" w:rsidRDefault="00050DBA" w:rsidP="00050DBA">
            <w:pPr>
              <w:jc w:val="center"/>
            </w:pPr>
            <w:r>
              <w:rPr>
                <w:rFonts w:hint="eastAsia"/>
              </w:rPr>
              <w:t>本年收费金额（单位：万元）</w:t>
            </w:r>
          </w:p>
        </w:tc>
      </w:tr>
      <w:tr w:rsidR="00050DBA" w:rsidTr="00DE0490">
        <w:tc>
          <w:tcPr>
            <w:tcW w:w="2130" w:type="dxa"/>
          </w:tcPr>
          <w:p w:rsidR="00050DBA" w:rsidRDefault="00050DBA" w:rsidP="00B83FEA">
            <w:r>
              <w:rPr>
                <w:rFonts w:hint="eastAsia"/>
              </w:rPr>
              <w:t>行政事业性收费</w:t>
            </w:r>
          </w:p>
        </w:tc>
        <w:tc>
          <w:tcPr>
            <w:tcW w:w="6392" w:type="dxa"/>
            <w:gridSpan w:val="3"/>
          </w:tcPr>
          <w:p w:rsidR="00050DBA" w:rsidRDefault="009D3CFA" w:rsidP="00050DBA">
            <w:pPr>
              <w:jc w:val="center"/>
            </w:pPr>
            <w:r>
              <w:rPr>
                <w:rFonts w:hint="eastAsia"/>
              </w:rPr>
              <w:t>1132</w:t>
            </w:r>
          </w:p>
        </w:tc>
      </w:tr>
    </w:tbl>
    <w:p w:rsidR="008D12C6" w:rsidRDefault="00354CBE" w:rsidP="00F952F3">
      <w:pPr>
        <w:pStyle w:val="a0"/>
        <w:ind w:firstLineChars="200" w:firstLine="640"/>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W w:w="9739" w:type="dxa"/>
        <w:jc w:val="center"/>
        <w:tblCellMar>
          <w:left w:w="0" w:type="dxa"/>
          <w:right w:w="0" w:type="dxa"/>
        </w:tblCellMar>
        <w:tblLook w:val="04A0"/>
      </w:tblPr>
      <w:tblGrid>
        <w:gridCol w:w="757"/>
        <w:gridCol w:w="870"/>
        <w:gridCol w:w="1530"/>
        <w:gridCol w:w="842"/>
        <w:gridCol w:w="1010"/>
        <w:gridCol w:w="1010"/>
        <w:gridCol w:w="1010"/>
        <w:gridCol w:w="1010"/>
        <w:gridCol w:w="773"/>
        <w:gridCol w:w="927"/>
      </w:tblGrid>
      <w:tr w:rsidR="008D12C6">
        <w:trPr>
          <w:trHeight w:val="639"/>
          <w:jc w:val="center"/>
        </w:trPr>
        <w:tc>
          <w:tcPr>
            <w:tcW w:w="31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（本列数据的勾稽关系为：第一项加第二项之和，等于第三项加第四项之和）</w:t>
            </w:r>
          </w:p>
        </w:tc>
        <w:tc>
          <w:tcPr>
            <w:tcW w:w="658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申请人情况</w:t>
            </w:r>
          </w:p>
        </w:tc>
      </w:tr>
      <w:tr w:rsidR="008D12C6">
        <w:trPr>
          <w:trHeight w:val="639"/>
          <w:jc w:val="center"/>
        </w:trPr>
        <w:tc>
          <w:tcPr>
            <w:tcW w:w="315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自然人</w:t>
            </w:r>
          </w:p>
        </w:tc>
        <w:tc>
          <w:tcPr>
            <w:tcW w:w="481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法人或其他组织</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总计</w:t>
            </w:r>
          </w:p>
        </w:tc>
      </w:tr>
      <w:tr w:rsidR="008D12C6">
        <w:trPr>
          <w:trHeight w:val="737"/>
          <w:jc w:val="center"/>
        </w:trPr>
        <w:tc>
          <w:tcPr>
            <w:tcW w:w="315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商业企业</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科研机构</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社会公益组织</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法律服务机构</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w:t>
            </w: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r>
      <w:tr w:rsidR="008D12C6">
        <w:trPr>
          <w:trHeight w:val="737"/>
          <w:jc w:val="center"/>
        </w:trPr>
        <w:tc>
          <w:tcPr>
            <w:tcW w:w="315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一、本年新收政府信息公开申请数量</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5769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5769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8D12C6">
        <w:trPr>
          <w:trHeight w:val="737"/>
          <w:jc w:val="center"/>
        </w:trPr>
        <w:tc>
          <w:tcPr>
            <w:tcW w:w="315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二、上年结转政府信息公开申请数量</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698"/>
          <w:jc w:val="center"/>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三、本年度办</w:t>
            </w:r>
            <w:r>
              <w:rPr>
                <w:rFonts w:ascii="宋体" w:hAnsi="宋体" w:cs="宋体" w:hint="eastAsia"/>
                <w:color w:val="000000"/>
                <w:kern w:val="0"/>
                <w:sz w:val="22"/>
                <w:szCs w:val="22"/>
              </w:rPr>
              <w:lastRenderedPageBreak/>
              <w:t xml:space="preserve">理结果                    </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（一）予以公开</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5769D3">
            <w:pPr>
              <w:rPr>
                <w:rFonts w:ascii="宋体" w:hAnsi="宋体" w:cs="宋体"/>
                <w:color w:val="000000"/>
                <w:sz w:val="22"/>
                <w:szCs w:val="22"/>
              </w:rPr>
            </w:pPr>
            <w:r>
              <w:rPr>
                <w:rFonts w:ascii="宋体" w:hAnsi="宋体" w:cs="宋体" w:hint="eastAsia"/>
                <w:color w:val="000000"/>
                <w:sz w:val="22"/>
                <w:szCs w:val="22"/>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F243F6">
            <w:pPr>
              <w:rPr>
                <w:rFonts w:ascii="宋体" w:hAnsi="宋体" w:cs="宋体"/>
                <w:color w:val="000000"/>
                <w:sz w:val="22"/>
                <w:szCs w:val="22"/>
              </w:rPr>
            </w:pPr>
            <w:r>
              <w:rPr>
                <w:rFonts w:ascii="宋体" w:hAnsi="宋体" w:cs="宋体" w:hint="eastAsia"/>
                <w:color w:val="000000"/>
                <w:sz w:val="22"/>
                <w:szCs w:val="22"/>
              </w:rPr>
              <w:t>2</w:t>
            </w:r>
          </w:p>
        </w:tc>
      </w:tr>
      <w:tr w:rsidR="008D12C6">
        <w:trPr>
          <w:trHeight w:val="1133"/>
          <w:jc w:val="center"/>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（二）部分公开（区分处理的，只计这一情形，不计其他情形）</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856"/>
          <w:jc w:val="center"/>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（三）不予公开</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1.属于国家秘密</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856"/>
          <w:jc w:val="center"/>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2.其他法律行政法规禁止公开</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856"/>
          <w:jc w:val="center"/>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3.危及“三安全一稳定”</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856"/>
          <w:jc w:val="center"/>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4.保护第三方合法权益</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856"/>
          <w:jc w:val="center"/>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5.属于三类内部事务信息</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856"/>
          <w:jc w:val="center"/>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6.属于四类过程性信息</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856"/>
          <w:jc w:val="center"/>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7.属于行政执法案卷</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856"/>
          <w:jc w:val="center"/>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8.属于行政查询事项</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915"/>
          <w:jc w:val="center"/>
        </w:trPr>
        <w:tc>
          <w:tcPr>
            <w:tcW w:w="757"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三、本年度办理结果                    </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（四）无法提供</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1.本机关不掌握相关政府信息</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955"/>
          <w:jc w:val="center"/>
        </w:trPr>
        <w:tc>
          <w:tcPr>
            <w:tcW w:w="75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2.没有现成信息需要另行制作</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856"/>
          <w:jc w:val="center"/>
        </w:trPr>
        <w:tc>
          <w:tcPr>
            <w:tcW w:w="75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3.补正后申请内容仍不明确</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757"/>
          <w:jc w:val="center"/>
        </w:trPr>
        <w:tc>
          <w:tcPr>
            <w:tcW w:w="75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（五）不予处理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1.信访举报投诉类申请</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678"/>
          <w:jc w:val="center"/>
        </w:trPr>
        <w:tc>
          <w:tcPr>
            <w:tcW w:w="75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2.重复申请</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698"/>
          <w:jc w:val="center"/>
        </w:trPr>
        <w:tc>
          <w:tcPr>
            <w:tcW w:w="75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3.要求提供公开出版物</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797"/>
          <w:jc w:val="center"/>
        </w:trPr>
        <w:tc>
          <w:tcPr>
            <w:tcW w:w="75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4.无正当理由大量反复申请</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8D12C6">
        <w:trPr>
          <w:trHeight w:val="1272"/>
          <w:jc w:val="center"/>
        </w:trPr>
        <w:tc>
          <w:tcPr>
            <w:tcW w:w="75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5.要求行政机关确认或重新出具已获取信息</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r w:rsidR="00E61EE5" w:rsidTr="004E285F">
        <w:trPr>
          <w:trHeight w:val="1272"/>
          <w:jc w:val="center"/>
        </w:trPr>
        <w:tc>
          <w:tcPr>
            <w:tcW w:w="75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61EE5" w:rsidRDefault="00E61EE5">
            <w:pPr>
              <w:jc w:val="center"/>
              <w:rPr>
                <w:rFonts w:ascii="宋体" w:hAnsi="宋体" w:cs="宋体"/>
                <w:color w:val="000000"/>
                <w:sz w:val="22"/>
                <w:szCs w:val="22"/>
              </w:rPr>
            </w:pPr>
          </w:p>
        </w:tc>
        <w:tc>
          <w:tcPr>
            <w:tcW w:w="87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61EE5" w:rsidRDefault="00E61EE5">
            <w:pPr>
              <w:jc w:val="center"/>
              <w:rPr>
                <w:rFonts w:ascii="宋体" w:hAnsi="宋体" w:cs="宋体"/>
                <w:color w:val="000000"/>
                <w:sz w:val="22"/>
                <w:szCs w:val="22"/>
              </w:rPr>
            </w:pPr>
            <w:r>
              <w:rPr>
                <w:rFonts w:ascii="宋体" w:hAnsi="宋体" w:cs="宋体" w:hint="eastAsia"/>
                <w:color w:val="000000"/>
                <w:sz w:val="22"/>
                <w:szCs w:val="22"/>
              </w:rPr>
              <w:t>（六）其他处理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1.申请人无正当理由逾期不补正、行政机关不再处理其政府信息公开申请</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r>
      <w:tr w:rsidR="00E61EE5" w:rsidTr="00FE33DD">
        <w:trPr>
          <w:trHeight w:val="1272"/>
          <w:jc w:val="center"/>
        </w:trPr>
        <w:tc>
          <w:tcPr>
            <w:tcW w:w="75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61EE5" w:rsidRDefault="00E61EE5">
            <w:pPr>
              <w:jc w:val="center"/>
              <w:rPr>
                <w:rFonts w:ascii="宋体" w:hAnsi="宋体" w:cs="宋体"/>
                <w:color w:val="000000"/>
                <w:sz w:val="22"/>
                <w:szCs w:val="22"/>
              </w:rPr>
            </w:pPr>
          </w:p>
        </w:tc>
        <w:tc>
          <w:tcPr>
            <w:tcW w:w="870" w:type="dxa"/>
            <w:vMerge/>
            <w:tcBorders>
              <w:left w:val="single" w:sz="4" w:space="0" w:color="000000"/>
              <w:right w:val="single" w:sz="4" w:space="0" w:color="000000"/>
            </w:tcBorders>
            <w:shd w:val="clear" w:color="auto" w:fill="auto"/>
            <w:tcMar>
              <w:top w:w="15" w:type="dxa"/>
              <w:left w:w="15" w:type="dxa"/>
              <w:right w:w="15" w:type="dxa"/>
            </w:tcMar>
            <w:vAlign w:val="center"/>
          </w:tcPr>
          <w:p w:rsidR="00E61EE5" w:rsidRDefault="00E61EE5">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Pr="00E61EE5" w:rsidRDefault="00E61EE5" w:rsidP="00E61EE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2.申请人逾期未按收费通知要求缴纳费用、行政机关不再处理其政府信息公开申请</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r>
      <w:tr w:rsidR="00E61EE5" w:rsidTr="00E61EE5">
        <w:trPr>
          <w:trHeight w:val="725"/>
          <w:jc w:val="center"/>
        </w:trPr>
        <w:tc>
          <w:tcPr>
            <w:tcW w:w="75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61EE5" w:rsidRDefault="00E61EE5">
            <w:pPr>
              <w:jc w:val="center"/>
              <w:rPr>
                <w:rFonts w:ascii="宋体" w:hAnsi="宋体" w:cs="宋体"/>
                <w:color w:val="000000"/>
                <w:sz w:val="22"/>
                <w:szCs w:val="22"/>
              </w:rPr>
            </w:pPr>
          </w:p>
        </w:tc>
        <w:tc>
          <w:tcPr>
            <w:tcW w:w="87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rsidP="00E61EE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3.其他</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1EE5" w:rsidRDefault="00E61EE5">
            <w:pPr>
              <w:rPr>
                <w:rFonts w:ascii="宋体" w:hAnsi="宋体" w:cs="宋体"/>
                <w:color w:val="000000"/>
                <w:sz w:val="22"/>
                <w:szCs w:val="22"/>
              </w:rPr>
            </w:pPr>
            <w:r>
              <w:rPr>
                <w:rFonts w:ascii="宋体" w:hAnsi="宋体" w:cs="宋体" w:hint="eastAsia"/>
                <w:color w:val="000000"/>
                <w:sz w:val="22"/>
                <w:szCs w:val="22"/>
              </w:rPr>
              <w:t>0</w:t>
            </w:r>
          </w:p>
        </w:tc>
      </w:tr>
      <w:tr w:rsidR="008D12C6">
        <w:trPr>
          <w:trHeight w:val="915"/>
          <w:jc w:val="center"/>
        </w:trPr>
        <w:tc>
          <w:tcPr>
            <w:tcW w:w="75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（七）总计</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5769D3">
            <w:pPr>
              <w:rPr>
                <w:rFonts w:ascii="宋体" w:hAnsi="宋体" w:cs="宋体"/>
                <w:color w:val="000000"/>
                <w:sz w:val="22"/>
                <w:szCs w:val="22"/>
              </w:rPr>
            </w:pPr>
            <w:r>
              <w:rPr>
                <w:rFonts w:ascii="宋体" w:hAnsi="宋体" w:cs="宋体" w:hint="eastAsia"/>
                <w:color w:val="000000"/>
                <w:sz w:val="22"/>
                <w:szCs w:val="22"/>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5769D3">
            <w:pPr>
              <w:rPr>
                <w:rFonts w:ascii="宋体" w:hAnsi="宋体" w:cs="宋体"/>
                <w:color w:val="000000"/>
                <w:sz w:val="22"/>
                <w:szCs w:val="22"/>
              </w:rPr>
            </w:pPr>
            <w:r>
              <w:rPr>
                <w:rFonts w:ascii="宋体" w:hAnsi="宋体" w:cs="宋体" w:hint="eastAsia"/>
                <w:color w:val="000000"/>
                <w:sz w:val="22"/>
                <w:szCs w:val="22"/>
              </w:rPr>
              <w:t>2</w:t>
            </w:r>
          </w:p>
        </w:tc>
      </w:tr>
      <w:tr w:rsidR="008D12C6">
        <w:trPr>
          <w:trHeight w:val="826"/>
          <w:jc w:val="center"/>
        </w:trPr>
        <w:tc>
          <w:tcPr>
            <w:tcW w:w="315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四、结转下年度继续办理</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rPr>
                <w:rFonts w:ascii="宋体" w:hAnsi="宋体" w:cs="宋体"/>
                <w:color w:val="000000"/>
                <w:sz w:val="22"/>
                <w:szCs w:val="22"/>
              </w:rPr>
            </w:pPr>
            <w:r>
              <w:rPr>
                <w:rFonts w:ascii="宋体" w:hAnsi="宋体" w:cs="宋体" w:hint="eastAsia"/>
                <w:color w:val="000000"/>
                <w:sz w:val="22"/>
                <w:szCs w:val="22"/>
              </w:rPr>
              <w:t>0</w:t>
            </w:r>
          </w:p>
        </w:tc>
      </w:tr>
    </w:tbl>
    <w:p w:rsidR="008D12C6" w:rsidRDefault="00354CBE">
      <w:pPr>
        <w:pStyle w:val="a0"/>
        <w:rPr>
          <w:rFonts w:ascii="黑体" w:eastAsia="黑体" w:hAnsi="黑体" w:cs="黑体"/>
          <w:sz w:val="32"/>
          <w:szCs w:val="32"/>
        </w:rPr>
      </w:pPr>
      <w:r>
        <w:rPr>
          <w:rFonts w:ascii="黑体" w:eastAsia="黑体" w:hAnsi="黑体" w:cs="黑体" w:hint="eastAsia"/>
          <w:sz w:val="32"/>
          <w:szCs w:val="32"/>
        </w:rPr>
        <w:t>四、政府信息公开行政复议、行政诉讼情况</w:t>
      </w:r>
    </w:p>
    <w:tbl>
      <w:tblPr>
        <w:tblW w:w="9819" w:type="dxa"/>
        <w:jc w:val="center"/>
        <w:tblCellMar>
          <w:left w:w="0" w:type="dxa"/>
          <w:right w:w="0" w:type="dxa"/>
        </w:tblCellMar>
        <w:tblLook w:val="04A0"/>
      </w:tblPr>
      <w:tblGrid>
        <w:gridCol w:w="654"/>
        <w:gridCol w:w="654"/>
        <w:gridCol w:w="654"/>
        <w:gridCol w:w="654"/>
        <w:gridCol w:w="657"/>
        <w:gridCol w:w="654"/>
        <w:gridCol w:w="654"/>
        <w:gridCol w:w="654"/>
        <w:gridCol w:w="654"/>
        <w:gridCol w:w="657"/>
        <w:gridCol w:w="654"/>
        <w:gridCol w:w="654"/>
        <w:gridCol w:w="654"/>
        <w:gridCol w:w="654"/>
        <w:gridCol w:w="657"/>
      </w:tblGrid>
      <w:tr w:rsidR="008D12C6">
        <w:trPr>
          <w:trHeight w:val="868"/>
          <w:jc w:val="center"/>
        </w:trPr>
        <w:tc>
          <w:tcPr>
            <w:tcW w:w="327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行政复议</w:t>
            </w:r>
          </w:p>
        </w:tc>
        <w:tc>
          <w:tcPr>
            <w:tcW w:w="6546"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行政诉讼</w:t>
            </w:r>
          </w:p>
        </w:tc>
      </w:tr>
      <w:tr w:rsidR="008D12C6">
        <w:trPr>
          <w:trHeight w:val="1110"/>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结果维持</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结果纠正</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其他结果</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尚未审结</w:t>
            </w:r>
          </w:p>
        </w:tc>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总计</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未经复议直接起诉</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复议后起诉</w:t>
            </w:r>
          </w:p>
        </w:tc>
      </w:tr>
      <w:tr w:rsidR="008D12C6">
        <w:trPr>
          <w:trHeight w:val="1680"/>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8D12C6">
            <w:pPr>
              <w:jc w:val="center"/>
              <w:rPr>
                <w:rFonts w:ascii="宋体" w:hAnsi="宋体" w:cs="宋体"/>
                <w:color w:val="000000"/>
                <w:sz w:val="22"/>
                <w:szCs w:val="22"/>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结果维持</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结果纠正</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其他结果</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尚未审结</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总计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结果维持</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结果纠正</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其他结果</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尚未审结</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总计</w:t>
            </w:r>
          </w:p>
        </w:tc>
      </w:tr>
      <w:tr w:rsidR="008D12C6" w:rsidTr="00D609C2">
        <w:trPr>
          <w:trHeight w:val="968"/>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sz w:val="22"/>
                <w:szCs w:val="22"/>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sz w:val="22"/>
                <w:szCs w:val="22"/>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jc w:val="center"/>
              <w:rPr>
                <w:rFonts w:ascii="宋体" w:hAnsi="宋体" w:cs="宋体"/>
                <w:color w:val="000000"/>
                <w:sz w:val="22"/>
                <w:szCs w:val="22"/>
              </w:rPr>
            </w:pPr>
            <w:r>
              <w:rPr>
                <w:rFonts w:ascii="宋体" w:hAnsi="宋体" w:cs="宋体" w:hint="eastAsia"/>
                <w:color w:val="000000"/>
                <w:sz w:val="22"/>
                <w:szCs w:val="22"/>
              </w:rPr>
              <w:t>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2C6" w:rsidRDefault="00354CBE">
            <w:pPr>
              <w:widowControl/>
              <w:jc w:val="center"/>
              <w:textAlignment w:val="center"/>
              <w:rPr>
                <w:rFonts w:ascii="宋体" w:hAnsi="宋体" w:cs="宋体"/>
                <w:color w:val="000000"/>
                <w:sz w:val="22"/>
                <w:szCs w:val="22"/>
              </w:rPr>
            </w:pPr>
            <w:r>
              <w:rPr>
                <w:rFonts w:ascii="宋体" w:hAnsi="宋体" w:cs="宋体" w:hint="eastAsia"/>
                <w:color w:val="000000"/>
                <w:sz w:val="22"/>
                <w:szCs w:val="22"/>
              </w:rPr>
              <w:t>0</w:t>
            </w:r>
          </w:p>
        </w:tc>
      </w:tr>
    </w:tbl>
    <w:p w:rsidR="008D12C6" w:rsidRDefault="001E5738" w:rsidP="001E5738">
      <w:pPr>
        <w:pStyle w:val="a0"/>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五、</w:t>
      </w:r>
      <w:r w:rsidR="00354CBE">
        <w:rPr>
          <w:rFonts w:ascii="黑体" w:eastAsia="黑体" w:hAnsi="黑体" w:cs="黑体" w:hint="eastAsia"/>
          <w:sz w:val="32"/>
          <w:szCs w:val="32"/>
        </w:rPr>
        <w:t>存在问题及下一步工作打算</w:t>
      </w:r>
    </w:p>
    <w:p w:rsidR="008D12C6" w:rsidRDefault="00354CBE">
      <w:pPr>
        <w:pStyle w:val="a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w:t>
      </w:r>
      <w:r w:rsidR="00217C1D">
        <w:rPr>
          <w:rFonts w:ascii="仿宋" w:eastAsia="仿宋" w:hAnsi="仿宋" w:cs="仿宋" w:hint="eastAsia"/>
          <w:sz w:val="32"/>
          <w:szCs w:val="32"/>
        </w:rPr>
        <w:t>1</w:t>
      </w:r>
      <w:r>
        <w:rPr>
          <w:rFonts w:ascii="仿宋" w:eastAsia="仿宋" w:hAnsi="仿宋" w:cs="仿宋" w:hint="eastAsia"/>
          <w:sz w:val="32"/>
          <w:szCs w:val="32"/>
        </w:rPr>
        <w:t>年，虽然</w:t>
      </w:r>
      <w:r w:rsidR="00567908">
        <w:rPr>
          <w:rFonts w:ascii="仿宋" w:eastAsia="仿宋" w:hAnsi="仿宋" w:cs="仿宋" w:hint="eastAsia"/>
          <w:sz w:val="32"/>
          <w:szCs w:val="32"/>
        </w:rPr>
        <w:t>承德</w:t>
      </w:r>
      <w:r>
        <w:rPr>
          <w:rFonts w:ascii="仿宋" w:eastAsia="仿宋" w:hAnsi="仿宋" w:cs="仿宋" w:hint="eastAsia"/>
          <w:sz w:val="32"/>
          <w:szCs w:val="32"/>
        </w:rPr>
        <w:t>高新区信息公开工作更加规范高效，取得了一定成绩，但与当前的新形势新要求相比还有一定差距。一是统筹推进政府信息公开的力度还需加强；二是基层政务公开标准化规范化工作还需深化；三是如何最大限度发挥门户网站功能还需进一步谋划。</w:t>
      </w:r>
    </w:p>
    <w:p w:rsidR="008D12C6" w:rsidRDefault="00354CBE">
      <w:pPr>
        <w:pStyle w:val="a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接下来，</w:t>
      </w:r>
      <w:r w:rsidR="00F243F6">
        <w:rPr>
          <w:rFonts w:ascii="仿宋" w:eastAsia="仿宋" w:hAnsi="仿宋" w:cs="仿宋" w:hint="eastAsia"/>
          <w:sz w:val="32"/>
          <w:szCs w:val="32"/>
        </w:rPr>
        <w:t>承德高新区</w:t>
      </w:r>
      <w:r>
        <w:rPr>
          <w:rFonts w:ascii="仿宋" w:eastAsia="仿宋" w:hAnsi="仿宋" w:cs="仿宋" w:hint="eastAsia"/>
          <w:sz w:val="32"/>
          <w:szCs w:val="32"/>
        </w:rPr>
        <w:t>将积极贯彻落实上级要求，充分发挥政府信息公开工作主管部门职能作用，督促指导全区各单位进步增强公开意识和服务意识，不断提升政府信息公开业务水平，充分保障群众知情权。</w:t>
      </w:r>
    </w:p>
    <w:p w:rsidR="008D12C6" w:rsidRPr="001E5738" w:rsidRDefault="00354CBE" w:rsidP="001E5738">
      <w:pPr>
        <w:pStyle w:val="a0"/>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六、其他报告事项</w:t>
      </w:r>
      <w:bookmarkStart w:id="0" w:name="_GoBack"/>
      <w:bookmarkEnd w:id="0"/>
    </w:p>
    <w:p w:rsidR="008D12C6" w:rsidRDefault="00354CBE">
      <w:pPr>
        <w:pStyle w:val="a0"/>
        <w:spacing w:line="580" w:lineRule="exact"/>
        <w:jc w:val="left"/>
        <w:rPr>
          <w:rFonts w:ascii="仿宋" w:eastAsia="仿宋" w:hAnsi="仿宋" w:cs="仿宋"/>
          <w:sz w:val="32"/>
          <w:szCs w:val="32"/>
        </w:rPr>
      </w:pPr>
      <w:r>
        <w:rPr>
          <w:rFonts w:ascii="仿宋" w:eastAsia="仿宋" w:hAnsi="仿宋" w:cs="仿宋" w:hint="eastAsia"/>
          <w:sz w:val="32"/>
          <w:szCs w:val="32"/>
        </w:rPr>
        <w:t xml:space="preserve">    </w:t>
      </w:r>
      <w:r w:rsidR="00D609C2">
        <w:rPr>
          <w:rFonts w:ascii="仿宋" w:eastAsia="仿宋" w:hAnsi="仿宋" w:cs="仿宋" w:hint="eastAsia"/>
          <w:sz w:val="32"/>
          <w:szCs w:val="32"/>
        </w:rPr>
        <w:t>承德高新区</w:t>
      </w:r>
      <w:r w:rsidR="00D609C2" w:rsidRPr="00D609C2">
        <w:rPr>
          <w:rFonts w:ascii="仿宋" w:eastAsia="仿宋" w:hAnsi="仿宋" w:cs="仿宋"/>
          <w:b/>
          <w:bCs/>
          <w:sz w:val="32"/>
          <w:szCs w:val="32"/>
        </w:rPr>
        <w:t>2021</w:t>
      </w:r>
      <w:r w:rsidR="00D609C2" w:rsidRPr="00D609C2">
        <w:rPr>
          <w:rFonts w:ascii="仿宋" w:eastAsia="仿宋" w:hAnsi="仿宋" w:cs="仿宋"/>
          <w:sz w:val="32"/>
          <w:szCs w:val="32"/>
        </w:rPr>
        <w:t>年度未向申请人收取政府信息公开信息处理费。</w:t>
      </w:r>
    </w:p>
    <w:p w:rsidR="008D12C6" w:rsidRDefault="008D12C6"/>
    <w:sectPr w:rsidR="008D12C6" w:rsidSect="008D12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F32" w:rsidRDefault="00807F32" w:rsidP="00645F0A">
      <w:r>
        <w:separator/>
      </w:r>
    </w:p>
  </w:endnote>
  <w:endnote w:type="continuationSeparator" w:id="1">
    <w:p w:rsidR="00807F32" w:rsidRDefault="00807F32" w:rsidP="00645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F32" w:rsidRDefault="00807F32" w:rsidP="00645F0A">
      <w:r>
        <w:separator/>
      </w:r>
    </w:p>
  </w:footnote>
  <w:footnote w:type="continuationSeparator" w:id="1">
    <w:p w:rsidR="00807F32" w:rsidRDefault="00807F32" w:rsidP="00645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94F36B"/>
    <w:multiLevelType w:val="singleLevel"/>
    <w:tmpl w:val="C294F36B"/>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04BFF"/>
    <w:rsid w:val="00050DBA"/>
    <w:rsid w:val="000A4063"/>
    <w:rsid w:val="00172ABB"/>
    <w:rsid w:val="001C2A77"/>
    <w:rsid w:val="001D5978"/>
    <w:rsid w:val="001E411B"/>
    <w:rsid w:val="001E5738"/>
    <w:rsid w:val="001E76EB"/>
    <w:rsid w:val="00217C1D"/>
    <w:rsid w:val="003429CA"/>
    <w:rsid w:val="00354CBE"/>
    <w:rsid w:val="0036110B"/>
    <w:rsid w:val="00365ED6"/>
    <w:rsid w:val="003A7C08"/>
    <w:rsid w:val="003C5584"/>
    <w:rsid w:val="003D2024"/>
    <w:rsid w:val="005045E1"/>
    <w:rsid w:val="00567908"/>
    <w:rsid w:val="005769D3"/>
    <w:rsid w:val="00586BEA"/>
    <w:rsid w:val="005B66D3"/>
    <w:rsid w:val="005F1EA1"/>
    <w:rsid w:val="00645F0A"/>
    <w:rsid w:val="006D7671"/>
    <w:rsid w:val="00710353"/>
    <w:rsid w:val="007C0C35"/>
    <w:rsid w:val="007C7FB6"/>
    <w:rsid w:val="00807F32"/>
    <w:rsid w:val="00821AEE"/>
    <w:rsid w:val="00835701"/>
    <w:rsid w:val="00836485"/>
    <w:rsid w:val="00891735"/>
    <w:rsid w:val="008D12C6"/>
    <w:rsid w:val="009430D3"/>
    <w:rsid w:val="00960012"/>
    <w:rsid w:val="009D3CFA"/>
    <w:rsid w:val="00A04BFF"/>
    <w:rsid w:val="00A7665A"/>
    <w:rsid w:val="00AE1A55"/>
    <w:rsid w:val="00AE5A09"/>
    <w:rsid w:val="00B67C58"/>
    <w:rsid w:val="00B83FEA"/>
    <w:rsid w:val="00B932A9"/>
    <w:rsid w:val="00CD7A9B"/>
    <w:rsid w:val="00CF3FDD"/>
    <w:rsid w:val="00D609C2"/>
    <w:rsid w:val="00D634C0"/>
    <w:rsid w:val="00DF6AFB"/>
    <w:rsid w:val="00E266C4"/>
    <w:rsid w:val="00E55445"/>
    <w:rsid w:val="00E60649"/>
    <w:rsid w:val="00E61EE5"/>
    <w:rsid w:val="00ED2169"/>
    <w:rsid w:val="00EE0AE3"/>
    <w:rsid w:val="00F243F6"/>
    <w:rsid w:val="00F952F3"/>
    <w:rsid w:val="00FC70D8"/>
    <w:rsid w:val="09560070"/>
    <w:rsid w:val="0DC91B66"/>
    <w:rsid w:val="0F2D1E14"/>
    <w:rsid w:val="10A43C76"/>
    <w:rsid w:val="14ED7ECE"/>
    <w:rsid w:val="152D0997"/>
    <w:rsid w:val="16DD2ED1"/>
    <w:rsid w:val="17A11AC4"/>
    <w:rsid w:val="19334278"/>
    <w:rsid w:val="1A620136"/>
    <w:rsid w:val="1A6251BF"/>
    <w:rsid w:val="22BE591E"/>
    <w:rsid w:val="24884B89"/>
    <w:rsid w:val="253F2D4A"/>
    <w:rsid w:val="25664E9E"/>
    <w:rsid w:val="28EF285F"/>
    <w:rsid w:val="299437D8"/>
    <w:rsid w:val="2A881653"/>
    <w:rsid w:val="2B7F3A90"/>
    <w:rsid w:val="2D1C4434"/>
    <w:rsid w:val="2DB614BA"/>
    <w:rsid w:val="2DD211F6"/>
    <w:rsid w:val="2E605C06"/>
    <w:rsid w:val="2FA54782"/>
    <w:rsid w:val="32AA0A70"/>
    <w:rsid w:val="34577076"/>
    <w:rsid w:val="35DF63B0"/>
    <w:rsid w:val="3CF75831"/>
    <w:rsid w:val="3D87745C"/>
    <w:rsid w:val="3E955E38"/>
    <w:rsid w:val="450B4F98"/>
    <w:rsid w:val="4E340AF5"/>
    <w:rsid w:val="4E947ABB"/>
    <w:rsid w:val="501736DD"/>
    <w:rsid w:val="517B4171"/>
    <w:rsid w:val="520B7988"/>
    <w:rsid w:val="53C753CB"/>
    <w:rsid w:val="54C86BD1"/>
    <w:rsid w:val="5674632F"/>
    <w:rsid w:val="581A429B"/>
    <w:rsid w:val="5BB03F7F"/>
    <w:rsid w:val="5F7E4163"/>
    <w:rsid w:val="64AE0340"/>
    <w:rsid w:val="69972701"/>
    <w:rsid w:val="6CE41294"/>
    <w:rsid w:val="6ED6423E"/>
    <w:rsid w:val="7A22414B"/>
    <w:rsid w:val="7CBC68C9"/>
    <w:rsid w:val="7D100046"/>
    <w:rsid w:val="7EEA22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D12C6"/>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uiPriority w:val="99"/>
    <w:unhideWhenUsed/>
    <w:qFormat/>
    <w:rsid w:val="008D12C6"/>
  </w:style>
  <w:style w:type="paragraph" w:styleId="7">
    <w:name w:val="index 7"/>
    <w:basedOn w:val="a"/>
    <w:next w:val="a"/>
    <w:uiPriority w:val="99"/>
    <w:unhideWhenUsed/>
    <w:qFormat/>
    <w:rsid w:val="008D12C6"/>
    <w:pPr>
      <w:ind w:left="2520"/>
    </w:pPr>
  </w:style>
  <w:style w:type="paragraph" w:styleId="a4">
    <w:name w:val="footer"/>
    <w:basedOn w:val="a"/>
    <w:link w:val="Char"/>
    <w:qFormat/>
    <w:rsid w:val="008D12C6"/>
    <w:pPr>
      <w:tabs>
        <w:tab w:val="center" w:pos="4153"/>
        <w:tab w:val="right" w:pos="8306"/>
      </w:tabs>
      <w:snapToGrid w:val="0"/>
      <w:jc w:val="left"/>
    </w:pPr>
    <w:rPr>
      <w:sz w:val="18"/>
      <w:szCs w:val="18"/>
    </w:rPr>
  </w:style>
  <w:style w:type="paragraph" w:styleId="a5">
    <w:name w:val="header"/>
    <w:basedOn w:val="a"/>
    <w:link w:val="Char0"/>
    <w:qFormat/>
    <w:rsid w:val="008D12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qFormat/>
    <w:rsid w:val="008D12C6"/>
    <w:rPr>
      <w:rFonts w:ascii="Calibri" w:eastAsia="宋体" w:hAnsi="Calibri" w:cs="Times New Roman"/>
      <w:kern w:val="2"/>
      <w:sz w:val="18"/>
      <w:szCs w:val="18"/>
    </w:rPr>
  </w:style>
  <w:style w:type="character" w:customStyle="1" w:styleId="Char">
    <w:name w:val="页脚 Char"/>
    <w:basedOn w:val="a1"/>
    <w:link w:val="a4"/>
    <w:qFormat/>
    <w:rsid w:val="008D12C6"/>
    <w:rPr>
      <w:rFonts w:ascii="Calibri" w:eastAsia="宋体" w:hAnsi="Calibri" w:cs="Times New Roman"/>
      <w:kern w:val="2"/>
      <w:sz w:val="18"/>
      <w:szCs w:val="18"/>
    </w:rPr>
  </w:style>
  <w:style w:type="paragraph" w:customStyle="1" w:styleId="TableParagraph">
    <w:name w:val="Table Paragraph"/>
    <w:basedOn w:val="a"/>
    <w:semiHidden/>
    <w:rsid w:val="00B83FEA"/>
    <w:pPr>
      <w:autoSpaceDE w:val="0"/>
      <w:autoSpaceDN w:val="0"/>
      <w:adjustRightInd w:val="0"/>
      <w:jc w:val="center"/>
    </w:pPr>
    <w:rPr>
      <w:rFonts w:ascii="方正姚体" w:eastAsia="方正姚体" w:hAnsi="宋体" w:cs="宋体"/>
      <w:kern w:val="0"/>
      <w:sz w:val="24"/>
    </w:rPr>
  </w:style>
  <w:style w:type="table" w:customStyle="1" w:styleId="TableNormal">
    <w:name w:val="Table Normal"/>
    <w:semiHidden/>
    <w:unhideWhenUsed/>
    <w:qFormat/>
    <w:rsid w:val="00B83FEA"/>
    <w:tblPr>
      <w:tblCellMar>
        <w:top w:w="0" w:type="dxa"/>
        <w:left w:w="0" w:type="dxa"/>
        <w:bottom w:w="0" w:type="dxa"/>
        <w:right w:w="0" w:type="dxa"/>
      </w:tblCellMar>
    </w:tblPr>
  </w:style>
  <w:style w:type="table" w:styleId="a6">
    <w:name w:val="Table Grid"/>
    <w:basedOn w:val="a2"/>
    <w:rsid w:val="00821A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399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9F5AE-90A0-414F-9E19-F93FEAEE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343</Words>
  <Characters>1961</Characters>
  <Application>Microsoft Office Word</Application>
  <DocSecurity>0</DocSecurity>
  <Lines>16</Lines>
  <Paragraphs>4</Paragraphs>
  <ScaleCrop>false</ScaleCrop>
  <Company>Microsoft</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33</cp:revision>
  <dcterms:created xsi:type="dcterms:W3CDTF">2014-10-29T12:08:00Z</dcterms:created>
  <dcterms:modified xsi:type="dcterms:W3CDTF">2022-03-10T02:47:00Z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1311041A33344EF2A7E011842B2E8323</vt:lpwstr>
  </property>
</Properties>
</file>