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承德高新区</w:t>
      </w:r>
      <w:r>
        <w:rPr>
          <w:rFonts w:hint="eastAsia" w:ascii="方正小标宋简体" w:hAnsi="方正小标宋简体" w:eastAsia="方正小标宋简体" w:cs="方正小标宋简体"/>
          <w:b/>
          <w:bCs/>
          <w:sz w:val="44"/>
          <w:szCs w:val="44"/>
          <w:lang w:eastAsia="zh-CN"/>
        </w:rPr>
        <w:t>人力资源和社会保障</w:t>
      </w:r>
      <w:r>
        <w:rPr>
          <w:rFonts w:hint="eastAsia" w:ascii="方正小标宋简体" w:hAnsi="方正小标宋简体" w:eastAsia="方正小标宋简体" w:cs="方正小标宋简体"/>
          <w:b/>
          <w:bCs/>
          <w:sz w:val="44"/>
          <w:szCs w:val="44"/>
        </w:rPr>
        <w:t>局2021年政府信息公开工作年度报告</w:t>
      </w:r>
    </w:p>
    <w:p>
      <w:pPr>
        <w:jc w:val="center"/>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 xml:space="preserve">   2021年以来，承德高新区</w:t>
      </w:r>
      <w:r>
        <w:rPr>
          <w:rFonts w:hint="eastAsia" w:ascii="仿宋" w:hAnsi="仿宋" w:eastAsia="仿宋" w:cs="仿宋"/>
          <w:sz w:val="32"/>
          <w:szCs w:val="32"/>
          <w:lang w:eastAsia="zh-CN"/>
        </w:rPr>
        <w:t>人社</w:t>
      </w:r>
      <w:r>
        <w:rPr>
          <w:rFonts w:hint="eastAsia" w:ascii="仿宋" w:hAnsi="仿宋" w:eastAsia="仿宋" w:cs="仿宋"/>
          <w:sz w:val="32"/>
          <w:szCs w:val="32"/>
        </w:rPr>
        <w:t>局高度重视政务信息公开工作，坚持以公开为常态，以不公开为例外的原则，不断强化制度建设，深化公开内容，拓展公开渠道，现将</w:t>
      </w:r>
      <w:r>
        <w:rPr>
          <w:rFonts w:hint="eastAsia" w:ascii="仿宋" w:hAnsi="仿宋" w:eastAsia="仿宋" w:cs="仿宋"/>
          <w:sz w:val="32"/>
          <w:szCs w:val="32"/>
          <w:lang w:eastAsia="zh-CN"/>
        </w:rPr>
        <w:t>人力资源和社会保障局</w:t>
      </w:r>
      <w:r>
        <w:rPr>
          <w:rFonts w:hint="eastAsia" w:ascii="仿宋" w:hAnsi="仿宋" w:eastAsia="仿宋" w:cs="仿宋"/>
          <w:sz w:val="32"/>
          <w:szCs w:val="32"/>
        </w:rPr>
        <w:t>2021年政务信息工作报告如下：</w:t>
      </w:r>
    </w:p>
    <w:p>
      <w:pPr>
        <w:spacing w:line="560" w:lineRule="exact"/>
        <w:rPr>
          <w:rFonts w:ascii="仿宋" w:hAnsi="仿宋" w:eastAsia="仿宋" w:cs="仿宋"/>
          <w:sz w:val="32"/>
          <w:szCs w:val="32"/>
        </w:rPr>
      </w:pPr>
      <w:r>
        <w:rPr>
          <w:rFonts w:hint="eastAsia" w:ascii="黑体" w:hAnsi="黑体" w:eastAsia="黑体" w:cs="黑体"/>
          <w:sz w:val="32"/>
          <w:szCs w:val="32"/>
        </w:rPr>
        <w:t>一、政务信息公开具体完成情况。</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在</w:t>
      </w:r>
      <w:r>
        <w:rPr>
          <w:rFonts w:hint="eastAsia" w:ascii="仿宋" w:hAnsi="仿宋" w:eastAsia="仿宋" w:cs="仿宋"/>
          <w:sz w:val="32"/>
          <w:szCs w:val="32"/>
        </w:rPr>
        <w:t>强化工作机制的基础上</w:t>
      </w:r>
      <w:r>
        <w:rPr>
          <w:rFonts w:hint="eastAsia" w:ascii="仿宋_GB2312" w:hAnsi="仿宋_GB2312" w:eastAsia="仿宋_GB2312" w:cs="仿宋_GB2312"/>
          <w:sz w:val="32"/>
          <w:szCs w:val="32"/>
        </w:rPr>
        <w:t xml:space="preserve">加大政务信息公开数量。涉及部门重点工作信息等各类信息 </w:t>
      </w:r>
      <w:r>
        <w:rPr>
          <w:rFonts w:hint="eastAsia" w:ascii="仿宋_GB2312" w:hAnsi="仿宋_GB2312" w:eastAsia="仿宋_GB2312" w:cs="仿宋_GB2312"/>
          <w:sz w:val="32"/>
          <w:szCs w:val="32"/>
          <w:lang w:val="en-US" w:eastAsia="zh-CN"/>
        </w:rPr>
        <w:t>83</w:t>
      </w:r>
      <w:bookmarkStart w:id="0" w:name="_GoBack"/>
      <w:bookmarkEnd w:id="0"/>
      <w:r>
        <w:rPr>
          <w:rFonts w:hint="eastAsia" w:ascii="仿宋_GB2312" w:hAnsi="仿宋_GB2312" w:eastAsia="仿宋_GB2312" w:cs="仿宋_GB2312"/>
          <w:sz w:val="32"/>
          <w:szCs w:val="32"/>
        </w:rPr>
        <w:t xml:space="preserve"> 条。</w:t>
      </w:r>
    </w:p>
    <w:p>
      <w:pPr>
        <w:spacing w:line="580" w:lineRule="exact"/>
        <w:rPr>
          <w:rFonts w:ascii="黑体" w:hAnsi="黑体" w:eastAsia="黑体" w:cs="黑体"/>
          <w:sz w:val="32"/>
          <w:szCs w:val="32"/>
        </w:rPr>
      </w:pPr>
      <w:r>
        <w:rPr>
          <w:rFonts w:hint="eastAsia" w:ascii="黑体" w:hAnsi="黑体" w:eastAsia="黑体" w:cs="黑体"/>
          <w:sz w:val="32"/>
          <w:szCs w:val="32"/>
        </w:rPr>
        <w:t>二、主动公开情况</w:t>
      </w:r>
    </w:p>
    <w:p>
      <w:pPr>
        <w:pStyle w:val="2"/>
      </w:pPr>
    </w:p>
    <w:tbl>
      <w:tblPr>
        <w:tblStyle w:val="7"/>
        <w:tblW w:w="9280" w:type="dxa"/>
        <w:jc w:val="center"/>
        <w:tblLayout w:type="autofit"/>
        <w:tblCellMar>
          <w:top w:w="0" w:type="dxa"/>
          <w:left w:w="0" w:type="dxa"/>
          <w:bottom w:w="0" w:type="dxa"/>
          <w:right w:w="0" w:type="dxa"/>
        </w:tblCellMar>
      </w:tblPr>
      <w:tblGrid>
        <w:gridCol w:w="2427"/>
        <w:gridCol w:w="2284"/>
        <w:gridCol w:w="2284"/>
        <w:gridCol w:w="2285"/>
      </w:tblGrid>
      <w:tr>
        <w:tblPrEx>
          <w:tblCellMar>
            <w:top w:w="0" w:type="dxa"/>
            <w:left w:w="0" w:type="dxa"/>
            <w:bottom w:w="0" w:type="dxa"/>
            <w:right w:w="0" w:type="dxa"/>
          </w:tblCellMar>
        </w:tblPrEx>
        <w:trPr>
          <w:trHeight w:val="580" w:hRule="atLeast"/>
          <w:jc w:val="center"/>
        </w:trPr>
        <w:tc>
          <w:tcPr>
            <w:tcW w:w="92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政府信息公开条例第二十条第（一）项</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本年新制作数量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本年新公开数量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对外公开总数量</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规章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szCs w:val="22"/>
              </w:rPr>
            </w:pPr>
            <w:r>
              <w:rPr>
                <w:rFonts w:hint="eastAsia" w:ascii="宋体" w:hAnsi="宋体" w:cs="宋体"/>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规范性文件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szCs w:val="22"/>
              </w:rPr>
            </w:pPr>
            <w:r>
              <w:rPr>
                <w:rFonts w:hint="eastAsia" w:ascii="宋体" w:hAnsi="宋体" w:cs="宋体"/>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szCs w:val="22"/>
              </w:rPr>
            </w:pPr>
            <w:r>
              <w:rPr>
                <w:rFonts w:hint="eastAsia" w:ascii="宋体" w:hAnsi="宋体" w:cs="宋体"/>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58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政府信息公开条例第二十条第（五）项</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上一年项目数量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本年增/减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处理决定数量</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行政许可</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left"/>
              <w:rPr>
                <w:rFonts w:ascii="宋体" w:hAnsi="宋体" w:cs="宋体"/>
                <w:kern w:val="0"/>
                <w:sz w:val="24"/>
              </w:rPr>
            </w:pPr>
            <w:r>
              <w:rPr>
                <w:rFonts w:hint="eastAsia" w:ascii="宋体" w:hAnsi="宋体" w:cs="宋体"/>
                <w:color w:val="000000"/>
                <w:kern w:val="0"/>
                <w:sz w:val="20"/>
                <w:szCs w:val="20"/>
              </w:rPr>
              <w:t>0</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left"/>
              <w:rPr>
                <w:rFonts w:ascii="宋体" w:hAnsi="宋体" w:cs="宋体"/>
                <w:kern w:val="0"/>
                <w:sz w:val="24"/>
              </w:rPr>
            </w:pPr>
            <w:r>
              <w:rPr>
                <w:rFonts w:hint="eastAsia" w:ascii="宋体" w:hAnsi="宋体" w:cs="宋体"/>
                <w:color w:val="000000"/>
                <w:kern w:val="0"/>
                <w:sz w:val="20"/>
                <w:szCs w:val="20"/>
              </w:rPr>
              <w:t>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left"/>
              <w:rPr>
                <w:rFonts w:ascii="宋体" w:hAnsi="宋体" w:cs="宋体"/>
                <w:kern w:val="0"/>
                <w:sz w:val="24"/>
              </w:rPr>
            </w:pPr>
            <w:r>
              <w:rPr>
                <w:rFonts w:hint="eastAsia" w:ascii="宋体" w:hAnsi="宋体" w:cs="宋体"/>
                <w:color w:val="000000"/>
                <w:kern w:val="0"/>
                <w:sz w:val="20"/>
                <w:szCs w:val="20"/>
              </w:rPr>
              <w:t>0</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其他对外管理服务事项</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left"/>
              <w:rPr>
                <w:rFonts w:ascii="宋体" w:hAnsi="宋体" w:cs="宋体"/>
                <w:kern w:val="0"/>
                <w:sz w:val="24"/>
              </w:rPr>
            </w:pPr>
            <w:r>
              <w:rPr>
                <w:rFonts w:hint="eastAsia" w:ascii="宋体" w:hAnsi="宋体" w:cs="宋体"/>
                <w:color w:val="000000"/>
                <w:kern w:val="0"/>
                <w:sz w:val="20"/>
                <w:szCs w:val="20"/>
              </w:rPr>
              <w:t>0</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left"/>
              <w:rPr>
                <w:rFonts w:ascii="宋体" w:hAnsi="宋体" w:cs="宋体"/>
                <w:kern w:val="0"/>
                <w:sz w:val="24"/>
              </w:rPr>
            </w:pPr>
            <w:r>
              <w:rPr>
                <w:rFonts w:hint="eastAsia" w:ascii="宋体" w:hAnsi="宋体" w:cs="宋体"/>
                <w:color w:val="000000"/>
                <w:kern w:val="0"/>
                <w:sz w:val="20"/>
                <w:szCs w:val="20"/>
              </w:rPr>
              <w:t>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left"/>
              <w:rPr>
                <w:rFonts w:ascii="宋体" w:hAnsi="宋体" w:cs="宋体"/>
                <w:kern w:val="0"/>
                <w:sz w:val="24"/>
              </w:rPr>
            </w:pPr>
            <w:r>
              <w:rPr>
                <w:rFonts w:hint="eastAsia" w:ascii="宋体" w:hAnsi="宋体" w:cs="宋体"/>
                <w:color w:val="000000"/>
                <w:kern w:val="0"/>
                <w:sz w:val="20"/>
                <w:szCs w:val="20"/>
              </w:rPr>
              <w:t>0</w:t>
            </w:r>
          </w:p>
        </w:tc>
      </w:tr>
      <w:tr>
        <w:tblPrEx>
          <w:tblCellMar>
            <w:top w:w="0" w:type="dxa"/>
            <w:left w:w="0" w:type="dxa"/>
            <w:bottom w:w="0" w:type="dxa"/>
            <w:right w:w="0" w:type="dxa"/>
          </w:tblCellMar>
        </w:tblPrEx>
        <w:trPr>
          <w:trHeight w:val="58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政府信息公开条例第二十条第（六）项</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上一年项目数量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本年增/减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处理决定数量</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行政处罚</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left"/>
              <w:rPr>
                <w:rFonts w:ascii="宋体" w:hAnsi="宋体" w:cs="宋体"/>
                <w:kern w:val="0"/>
                <w:sz w:val="24"/>
              </w:rPr>
            </w:pPr>
            <w:r>
              <w:rPr>
                <w:rFonts w:hint="eastAsia" w:ascii="宋体" w:hAnsi="宋体" w:cs="宋体"/>
                <w:color w:val="000000"/>
                <w:kern w:val="0"/>
                <w:sz w:val="20"/>
                <w:szCs w:val="20"/>
              </w:rPr>
              <w:t>0</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left"/>
              <w:rPr>
                <w:rFonts w:ascii="宋体" w:hAnsi="宋体" w:cs="宋体"/>
                <w:kern w:val="0"/>
                <w:sz w:val="24"/>
              </w:rPr>
            </w:pPr>
            <w:r>
              <w:rPr>
                <w:rFonts w:hint="eastAsia" w:ascii="宋体" w:hAnsi="宋体" w:cs="宋体"/>
                <w:color w:val="000000"/>
                <w:kern w:val="0"/>
                <w:sz w:val="20"/>
                <w:szCs w:val="20"/>
              </w:rPr>
              <w:t>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left"/>
              <w:rPr>
                <w:rFonts w:ascii="宋体" w:hAnsi="宋体" w:cs="宋体"/>
                <w:kern w:val="0"/>
                <w:sz w:val="24"/>
              </w:rPr>
            </w:pPr>
            <w:r>
              <w:rPr>
                <w:rFonts w:hint="eastAsia" w:ascii="宋体" w:hAnsi="宋体" w:cs="宋体"/>
                <w:color w:val="000000"/>
                <w:kern w:val="0"/>
                <w:sz w:val="20"/>
                <w:szCs w:val="20"/>
              </w:rPr>
              <w:t>0</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行政强制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58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政府信息公开条例第二十条第（八）项</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上一年项目数量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本年增/减</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行政事业性收费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58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政府信息公开条例第二十条第（九）项</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采购项目数量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采购总金额</w:t>
            </w:r>
          </w:p>
        </w:tc>
      </w:tr>
      <w:tr>
        <w:tblPrEx>
          <w:tblCellMar>
            <w:top w:w="0" w:type="dxa"/>
            <w:left w:w="0" w:type="dxa"/>
            <w:bottom w:w="0" w:type="dxa"/>
            <w:right w:w="0" w:type="dxa"/>
          </w:tblCellMar>
        </w:tblPrEx>
        <w:trPr>
          <w:trHeight w:val="5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政府集中采购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0</w:t>
            </w:r>
          </w:p>
        </w:tc>
      </w:tr>
    </w:tbl>
    <w:p>
      <w:pPr>
        <w:tabs>
          <w:tab w:val="left" w:pos="6024"/>
        </w:tabs>
        <w:jc w:val="left"/>
      </w:pPr>
    </w:p>
    <w:p>
      <w:pPr>
        <w:pStyle w:val="2"/>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7"/>
        <w:tblW w:w="9739" w:type="dxa"/>
        <w:jc w:val="center"/>
        <w:tblLayout w:type="autofit"/>
        <w:tblCellMar>
          <w:top w:w="0" w:type="dxa"/>
          <w:left w:w="0" w:type="dxa"/>
          <w:bottom w:w="0" w:type="dxa"/>
          <w:right w:w="0" w:type="dxa"/>
        </w:tblCellMar>
      </w:tblPr>
      <w:tblGrid>
        <w:gridCol w:w="757"/>
        <w:gridCol w:w="870"/>
        <w:gridCol w:w="1530"/>
        <w:gridCol w:w="842"/>
        <w:gridCol w:w="1010"/>
        <w:gridCol w:w="1010"/>
        <w:gridCol w:w="1010"/>
        <w:gridCol w:w="1010"/>
        <w:gridCol w:w="773"/>
        <w:gridCol w:w="927"/>
      </w:tblGrid>
      <w:tr>
        <w:tblPrEx>
          <w:tblCellMar>
            <w:top w:w="0" w:type="dxa"/>
            <w:left w:w="0" w:type="dxa"/>
            <w:bottom w:w="0" w:type="dxa"/>
            <w:right w:w="0" w:type="dxa"/>
          </w:tblCellMar>
        </w:tblPrEx>
        <w:trPr>
          <w:trHeight w:val="639" w:hRule="atLeast"/>
          <w:jc w:val="center"/>
        </w:trPr>
        <w:tc>
          <w:tcPr>
            <w:tcW w:w="31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（本列数据的勾稽关系为：第一项加第二项之和，等于第三项加第四项之和）</w:t>
            </w:r>
          </w:p>
        </w:tc>
        <w:tc>
          <w:tcPr>
            <w:tcW w:w="658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申请人情况</w:t>
            </w:r>
          </w:p>
        </w:tc>
      </w:tr>
      <w:tr>
        <w:tblPrEx>
          <w:tblCellMar>
            <w:top w:w="0" w:type="dxa"/>
            <w:left w:w="0" w:type="dxa"/>
            <w:bottom w:w="0" w:type="dxa"/>
            <w:right w:w="0" w:type="dxa"/>
          </w:tblCellMar>
        </w:tblPrEx>
        <w:trPr>
          <w:trHeight w:val="639" w:hRule="atLeast"/>
          <w:jc w:val="center"/>
        </w:trPr>
        <w:tc>
          <w:tcPr>
            <w:tcW w:w="31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自然人</w:t>
            </w:r>
          </w:p>
        </w:tc>
        <w:tc>
          <w:tcPr>
            <w:tcW w:w="48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法人或其他组织</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总计</w:t>
            </w:r>
          </w:p>
        </w:tc>
      </w:tr>
      <w:tr>
        <w:tblPrEx>
          <w:tblCellMar>
            <w:top w:w="0" w:type="dxa"/>
            <w:left w:w="0" w:type="dxa"/>
            <w:bottom w:w="0" w:type="dxa"/>
            <w:right w:w="0" w:type="dxa"/>
          </w:tblCellMar>
        </w:tblPrEx>
        <w:trPr>
          <w:trHeight w:val="737" w:hRule="atLeast"/>
          <w:jc w:val="center"/>
        </w:trPr>
        <w:tc>
          <w:tcPr>
            <w:tcW w:w="31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商业企业</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科研机构</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社会公益组织</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法律服务机构</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w:t>
            </w: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737" w:hRule="atLeast"/>
          <w:jc w:val="center"/>
        </w:trPr>
        <w:tc>
          <w:tcPr>
            <w:tcW w:w="3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一、本年新收政府信息公开申请数量</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0</w:t>
            </w:r>
          </w:p>
        </w:tc>
      </w:tr>
      <w:tr>
        <w:tblPrEx>
          <w:tblCellMar>
            <w:top w:w="0" w:type="dxa"/>
            <w:left w:w="0" w:type="dxa"/>
            <w:bottom w:w="0" w:type="dxa"/>
            <w:right w:w="0" w:type="dxa"/>
          </w:tblCellMar>
        </w:tblPrEx>
        <w:trPr>
          <w:trHeight w:val="737" w:hRule="atLeast"/>
          <w:jc w:val="center"/>
        </w:trPr>
        <w:tc>
          <w:tcPr>
            <w:tcW w:w="3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二、上年结转政府信息公开申请数量</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698" w:hRule="atLeast"/>
          <w:jc w:val="center"/>
        </w:trPr>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三、本年度办理结果                    </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（一）予以公开</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1133"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（二）部分公开（区分处理的，只计这一情形，不计其他情形）</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（三）不予公开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1.属于国家秘密</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2.其他法律行政法规禁止公开</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3.危及“三安全一稳定”</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4.保护第三方合法权益</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5.属于三类内部事务信息</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6.属于四类过程性信息</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7.属于行政执法案卷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8.属于行政查询事项</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915" w:hRule="atLeast"/>
          <w:jc w:val="center"/>
        </w:trPr>
        <w:tc>
          <w:tcPr>
            <w:tcW w:w="75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三、本年度办理结果                    </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（四）无法提供</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1.本机关不掌握相关政府信息</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955" w:hRule="atLeast"/>
          <w:jc w:val="center"/>
        </w:trPr>
        <w:tc>
          <w:tcPr>
            <w:tcW w:w="7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2.没有现成信息需要另行制作</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7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3.补正后申请内容仍不明确</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757" w:hRule="atLeast"/>
          <w:jc w:val="center"/>
        </w:trPr>
        <w:tc>
          <w:tcPr>
            <w:tcW w:w="7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（五）不予处理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1.信访举报投诉类申请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678" w:hRule="atLeast"/>
          <w:jc w:val="center"/>
        </w:trPr>
        <w:tc>
          <w:tcPr>
            <w:tcW w:w="7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2.重复申请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698" w:hRule="atLeast"/>
          <w:jc w:val="center"/>
        </w:trPr>
        <w:tc>
          <w:tcPr>
            <w:tcW w:w="7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3.要求提供公开出版物</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797" w:hRule="atLeast"/>
          <w:jc w:val="center"/>
        </w:trPr>
        <w:tc>
          <w:tcPr>
            <w:tcW w:w="7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4.无正当理由大量反复申请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1272" w:hRule="atLeast"/>
          <w:jc w:val="center"/>
        </w:trPr>
        <w:tc>
          <w:tcPr>
            <w:tcW w:w="7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5.要求行政机关确认或重新出具已获取信息</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915" w:hRule="atLeast"/>
          <w:jc w:val="center"/>
        </w:trPr>
        <w:tc>
          <w:tcPr>
            <w:tcW w:w="7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（六）其他处理</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915" w:hRule="atLeast"/>
          <w:jc w:val="center"/>
        </w:trPr>
        <w:tc>
          <w:tcPr>
            <w:tcW w:w="7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（七）总计</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26" w:hRule="atLeast"/>
          <w:jc w:val="center"/>
        </w:trPr>
        <w:tc>
          <w:tcPr>
            <w:tcW w:w="3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四、结转下年度继续办理</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bl>
    <w:p>
      <w:pPr>
        <w:pStyle w:val="2"/>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7"/>
        <w:tblW w:w="9819" w:type="dxa"/>
        <w:jc w:val="center"/>
        <w:tblLayout w:type="autofit"/>
        <w:tblCellMar>
          <w:top w:w="0" w:type="dxa"/>
          <w:left w:w="0" w:type="dxa"/>
          <w:bottom w:w="0" w:type="dxa"/>
          <w:right w:w="0" w:type="dxa"/>
        </w:tblCellMar>
      </w:tblPr>
      <w:tblGrid>
        <w:gridCol w:w="654"/>
        <w:gridCol w:w="654"/>
        <w:gridCol w:w="654"/>
        <w:gridCol w:w="654"/>
        <w:gridCol w:w="657"/>
        <w:gridCol w:w="654"/>
        <w:gridCol w:w="654"/>
        <w:gridCol w:w="654"/>
        <w:gridCol w:w="654"/>
        <w:gridCol w:w="657"/>
        <w:gridCol w:w="654"/>
        <w:gridCol w:w="654"/>
        <w:gridCol w:w="654"/>
        <w:gridCol w:w="654"/>
        <w:gridCol w:w="657"/>
      </w:tblGrid>
      <w:tr>
        <w:tblPrEx>
          <w:tblCellMar>
            <w:top w:w="0" w:type="dxa"/>
            <w:left w:w="0" w:type="dxa"/>
            <w:bottom w:w="0" w:type="dxa"/>
            <w:right w:w="0" w:type="dxa"/>
          </w:tblCellMar>
        </w:tblPrEx>
        <w:trPr>
          <w:trHeight w:val="868" w:hRule="atLeast"/>
          <w:jc w:val="center"/>
        </w:trPr>
        <w:tc>
          <w:tcPr>
            <w:tcW w:w="3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行政复议</w:t>
            </w:r>
          </w:p>
        </w:tc>
        <w:tc>
          <w:tcPr>
            <w:tcW w:w="654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行政诉讼</w:t>
            </w:r>
          </w:p>
        </w:tc>
      </w:tr>
      <w:tr>
        <w:tblPrEx>
          <w:tblCellMar>
            <w:top w:w="0" w:type="dxa"/>
            <w:left w:w="0" w:type="dxa"/>
            <w:bottom w:w="0" w:type="dxa"/>
            <w:right w:w="0" w:type="dxa"/>
          </w:tblCellMar>
        </w:tblPrEx>
        <w:trPr>
          <w:trHeight w:val="1110" w:hRule="atLeast"/>
          <w:jc w:val="center"/>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结果维持</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结果纠正</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其他结果</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尚未审结</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总计</w:t>
            </w:r>
          </w:p>
        </w:tc>
        <w:tc>
          <w:tcPr>
            <w:tcW w:w="3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未经复议直接起诉</w:t>
            </w:r>
          </w:p>
        </w:tc>
        <w:tc>
          <w:tcPr>
            <w:tcW w:w="3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复议后起诉</w:t>
            </w:r>
          </w:p>
        </w:tc>
      </w:tr>
      <w:tr>
        <w:tblPrEx>
          <w:tblCellMar>
            <w:top w:w="0" w:type="dxa"/>
            <w:left w:w="0" w:type="dxa"/>
            <w:bottom w:w="0" w:type="dxa"/>
            <w:right w:w="0" w:type="dxa"/>
          </w:tblCellMar>
        </w:tblPrEx>
        <w:trPr>
          <w:trHeight w:val="16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结果维持</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结果纠正</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其他结果</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尚未审结</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总计</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结果维持</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结果纠正</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其他结果</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尚未审结</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总计</w:t>
            </w:r>
          </w:p>
        </w:tc>
      </w:tr>
      <w:tr>
        <w:tblPrEx>
          <w:tblCellMar>
            <w:top w:w="0" w:type="dxa"/>
            <w:left w:w="0" w:type="dxa"/>
            <w:bottom w:w="0" w:type="dxa"/>
            <w:right w:w="0" w:type="dxa"/>
          </w:tblCellMar>
        </w:tblPrEx>
        <w:trPr>
          <w:trHeight w:val="1551"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0</w:t>
            </w:r>
          </w:p>
        </w:tc>
      </w:tr>
    </w:tbl>
    <w:p>
      <w:pPr>
        <w:spacing w:line="580" w:lineRule="exact"/>
        <w:jc w:val="left"/>
        <w:rPr>
          <w:rFonts w:ascii="黑体" w:hAnsi="黑体" w:eastAsia="黑体" w:cs="黑体"/>
          <w:sz w:val="32"/>
          <w:szCs w:val="32"/>
        </w:rPr>
      </w:pPr>
    </w:p>
    <w:p>
      <w:pPr>
        <w:numPr>
          <w:ilvl w:val="0"/>
          <w:numId w:val="1"/>
        </w:numPr>
        <w:spacing w:line="580" w:lineRule="exact"/>
        <w:jc w:val="left"/>
        <w:rPr>
          <w:rFonts w:ascii="黑体" w:hAnsi="黑体" w:eastAsia="黑体" w:cs="黑体"/>
          <w:sz w:val="32"/>
          <w:szCs w:val="32"/>
        </w:rPr>
      </w:pPr>
      <w:r>
        <w:rPr>
          <w:rFonts w:hint="eastAsia" w:ascii="黑体" w:hAnsi="黑体" w:eastAsia="黑体" w:cs="黑体"/>
          <w:sz w:val="32"/>
          <w:szCs w:val="32"/>
        </w:rPr>
        <w:t>存在问题及下一步工作打算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0" w:firstLineChars="200"/>
        <w:rPr>
          <w:rFonts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333333"/>
          <w:spacing w:val="0"/>
          <w:sz w:val="31"/>
          <w:szCs w:val="31"/>
          <w:bdr w:val="none" w:color="auto" w:sz="0" w:space="0"/>
          <w:shd w:val="clear" w:fill="FFFFFF"/>
        </w:rPr>
        <w:t>目前，我局政府信息公开工作存在的问题：一是公开信息的时效性不够强</w:t>
      </w:r>
      <w:r>
        <w:rPr>
          <w:rFonts w:hint="eastAsia" w:ascii="仿宋" w:hAnsi="仿宋" w:eastAsia="仿宋" w:cs="仿宋"/>
          <w:i w:val="0"/>
          <w:iCs w:val="0"/>
          <w:caps w:val="0"/>
          <w:color w:val="333333"/>
          <w:spacing w:val="0"/>
          <w:sz w:val="31"/>
          <w:szCs w:val="31"/>
          <w:bdr w:val="none" w:color="auto" w:sz="0" w:space="0"/>
          <w:shd w:val="clear" w:fill="FFFFFF"/>
        </w:rPr>
        <w:t>;二是主动公开政府信息的数量还需要增加，公开的内容需要进一步细化;三是宣传和引导工作需要进一步加强，提升政府信息公开工作的认识程度，满足公众对政府信息的需求。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bdr w:val="none" w:color="auto" w:sz="0" w:space="0"/>
          <w:shd w:val="clear" w:fill="FFFFFF"/>
        </w:rPr>
        <w:t>　　针对上述问题我们有以下几点改进措施：一是加强信息公开负责</w:t>
      </w:r>
      <w:r>
        <w:rPr>
          <w:rFonts w:hint="eastAsia" w:ascii="仿宋" w:hAnsi="仿宋" w:eastAsia="仿宋" w:cs="仿宋"/>
          <w:i w:val="0"/>
          <w:iCs w:val="0"/>
          <w:caps w:val="0"/>
          <w:color w:val="333333"/>
          <w:spacing w:val="0"/>
          <w:sz w:val="31"/>
          <w:szCs w:val="31"/>
          <w:bdr w:val="none" w:color="auto" w:sz="0" w:space="0"/>
          <w:shd w:val="clear" w:fill="FFFFFF"/>
          <w:lang w:eastAsia="zh-CN"/>
        </w:rPr>
        <w:t>科室</w:t>
      </w:r>
      <w:r>
        <w:rPr>
          <w:rFonts w:hint="eastAsia" w:ascii="仿宋" w:hAnsi="仿宋" w:eastAsia="仿宋" w:cs="仿宋"/>
          <w:i w:val="0"/>
          <w:iCs w:val="0"/>
          <w:caps w:val="0"/>
          <w:color w:val="333333"/>
          <w:spacing w:val="0"/>
          <w:sz w:val="31"/>
          <w:szCs w:val="31"/>
          <w:bdr w:val="none" w:color="auto" w:sz="0" w:space="0"/>
          <w:shd w:val="clear" w:fill="FFFFFF"/>
        </w:rPr>
        <w:t>与各</w:t>
      </w:r>
      <w:r>
        <w:rPr>
          <w:rFonts w:hint="eastAsia" w:ascii="仿宋" w:hAnsi="仿宋" w:eastAsia="仿宋" w:cs="仿宋"/>
          <w:i w:val="0"/>
          <w:iCs w:val="0"/>
          <w:caps w:val="0"/>
          <w:color w:val="333333"/>
          <w:spacing w:val="0"/>
          <w:sz w:val="31"/>
          <w:szCs w:val="31"/>
          <w:bdr w:val="none" w:color="auto" w:sz="0" w:space="0"/>
          <w:shd w:val="clear" w:fill="FFFFFF"/>
          <w:lang w:eastAsia="zh-CN"/>
        </w:rPr>
        <w:t>科</w:t>
      </w:r>
      <w:r>
        <w:rPr>
          <w:rFonts w:hint="eastAsia" w:ascii="仿宋" w:hAnsi="仿宋" w:eastAsia="仿宋" w:cs="仿宋"/>
          <w:i w:val="0"/>
          <w:iCs w:val="0"/>
          <w:caps w:val="0"/>
          <w:color w:val="333333"/>
          <w:spacing w:val="0"/>
          <w:sz w:val="31"/>
          <w:szCs w:val="31"/>
          <w:bdr w:val="none" w:color="auto" w:sz="0" w:space="0"/>
          <w:shd w:val="clear" w:fill="FFFFFF"/>
        </w:rPr>
        <w:t>室之间联系，及时将各</w:t>
      </w:r>
      <w:r>
        <w:rPr>
          <w:rFonts w:hint="eastAsia" w:ascii="仿宋" w:hAnsi="仿宋" w:eastAsia="仿宋" w:cs="仿宋"/>
          <w:i w:val="0"/>
          <w:iCs w:val="0"/>
          <w:caps w:val="0"/>
          <w:color w:val="333333"/>
          <w:spacing w:val="0"/>
          <w:sz w:val="31"/>
          <w:szCs w:val="31"/>
          <w:bdr w:val="none" w:color="auto" w:sz="0" w:space="0"/>
          <w:shd w:val="clear" w:fill="FFFFFF"/>
          <w:lang w:eastAsia="zh-CN"/>
        </w:rPr>
        <w:t>科</w:t>
      </w:r>
      <w:r>
        <w:rPr>
          <w:rFonts w:hint="eastAsia" w:ascii="仿宋" w:hAnsi="仿宋" w:eastAsia="仿宋" w:cs="仿宋"/>
          <w:i w:val="0"/>
          <w:iCs w:val="0"/>
          <w:caps w:val="0"/>
          <w:color w:val="333333"/>
          <w:spacing w:val="0"/>
          <w:sz w:val="31"/>
          <w:szCs w:val="31"/>
          <w:bdr w:val="none" w:color="auto" w:sz="0" w:space="0"/>
          <w:shd w:val="clear" w:fill="FFFFFF"/>
        </w:rPr>
        <w:t>室生成的信息发布到网上，尽量做到信息生成与发布保持同步;二是进一步解放思想，扩大信息公开的范围，除正式文件外，其他由我局生成的对社会公众有指导或帮助意义的信息也要纳入信息公开的范畴之中予以发布;三是加大对信息公开工作的宣传力度，使社会公众对这项工作有进一步的了解和更深的认识，引导公众正确使用信息公开这种新兴的政府服务职能，为自己的生活、工作提供便利。四是注意借鉴兄弟机关单位的好做法，收集新情况，总结新经验，继续坚持政府信息公开值班制度，及时处理网上留言、咨询和相关申请工作，认真做好相关记录，做到件件有着落，事事有回音，认真履行政府信息公开工作的各项职责，主动接受社会监督，为广大社会公众服好务。</w:t>
      </w:r>
    </w:p>
    <w:p>
      <w:pPr>
        <w:pStyle w:val="2"/>
        <w:spacing w:line="580" w:lineRule="exact"/>
        <w:jc w:val="left"/>
        <w:rPr>
          <w:rFonts w:ascii="仿宋" w:hAnsi="仿宋" w:eastAsia="仿宋" w:cs="仿宋"/>
          <w:sz w:val="32"/>
          <w:szCs w:val="32"/>
        </w:rPr>
      </w:pPr>
      <w:r>
        <w:rPr>
          <w:rFonts w:hint="eastAsia" w:ascii="黑体" w:hAnsi="黑体" w:eastAsia="黑体" w:cs="黑体"/>
          <w:sz w:val="32"/>
          <w:szCs w:val="32"/>
        </w:rPr>
        <w:t>六、其他报告事项</w:t>
      </w:r>
    </w:p>
    <w:p>
      <w:pPr>
        <w:pStyle w:val="2"/>
        <w:spacing w:line="580" w:lineRule="exact"/>
        <w:jc w:val="left"/>
        <w:rPr>
          <w:rFonts w:ascii="仿宋" w:hAnsi="仿宋" w:eastAsia="仿宋" w:cs="仿宋"/>
          <w:sz w:val="32"/>
          <w:szCs w:val="32"/>
        </w:rPr>
      </w:pPr>
      <w:r>
        <w:rPr>
          <w:rFonts w:hint="eastAsia" w:ascii="仿宋" w:hAnsi="仿宋" w:eastAsia="仿宋" w:cs="仿宋"/>
          <w:sz w:val="32"/>
          <w:szCs w:val="32"/>
        </w:rPr>
        <w:t xml:space="preserve">    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94F36B"/>
    <w:multiLevelType w:val="singleLevel"/>
    <w:tmpl w:val="C294F36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04BFF"/>
    <w:rsid w:val="000A3870"/>
    <w:rsid w:val="000A4063"/>
    <w:rsid w:val="00113C77"/>
    <w:rsid w:val="00172ABB"/>
    <w:rsid w:val="001C2A77"/>
    <w:rsid w:val="001D5978"/>
    <w:rsid w:val="00217C1D"/>
    <w:rsid w:val="0031432B"/>
    <w:rsid w:val="003429CA"/>
    <w:rsid w:val="00354CBE"/>
    <w:rsid w:val="0036110B"/>
    <w:rsid w:val="003A7C08"/>
    <w:rsid w:val="003C5584"/>
    <w:rsid w:val="003D2024"/>
    <w:rsid w:val="005045E1"/>
    <w:rsid w:val="005769D3"/>
    <w:rsid w:val="00645F0A"/>
    <w:rsid w:val="00710353"/>
    <w:rsid w:val="007C7FB6"/>
    <w:rsid w:val="008D12C6"/>
    <w:rsid w:val="009430D3"/>
    <w:rsid w:val="00A04BFF"/>
    <w:rsid w:val="00A7665A"/>
    <w:rsid w:val="00AE1A55"/>
    <w:rsid w:val="00AE5A09"/>
    <w:rsid w:val="00B67C58"/>
    <w:rsid w:val="00B932A9"/>
    <w:rsid w:val="00C42A64"/>
    <w:rsid w:val="00C91262"/>
    <w:rsid w:val="00CD7A9B"/>
    <w:rsid w:val="00DC4518"/>
    <w:rsid w:val="00DF6AFB"/>
    <w:rsid w:val="00E343F5"/>
    <w:rsid w:val="00E55445"/>
    <w:rsid w:val="00E60649"/>
    <w:rsid w:val="00E608F9"/>
    <w:rsid w:val="00ED2169"/>
    <w:rsid w:val="00FF08BD"/>
    <w:rsid w:val="01E943A0"/>
    <w:rsid w:val="09560070"/>
    <w:rsid w:val="0DC91B66"/>
    <w:rsid w:val="0F2D1E14"/>
    <w:rsid w:val="10A43C76"/>
    <w:rsid w:val="11331A4D"/>
    <w:rsid w:val="14ED7ECE"/>
    <w:rsid w:val="152D0997"/>
    <w:rsid w:val="16DD2ED1"/>
    <w:rsid w:val="17A11AC4"/>
    <w:rsid w:val="19334278"/>
    <w:rsid w:val="1A620136"/>
    <w:rsid w:val="1A6251BF"/>
    <w:rsid w:val="22BE591E"/>
    <w:rsid w:val="24884B89"/>
    <w:rsid w:val="253F2D4A"/>
    <w:rsid w:val="25664E9E"/>
    <w:rsid w:val="28EF285F"/>
    <w:rsid w:val="299437D8"/>
    <w:rsid w:val="2A881653"/>
    <w:rsid w:val="2B7F3A90"/>
    <w:rsid w:val="2D1C4434"/>
    <w:rsid w:val="2DB614BA"/>
    <w:rsid w:val="2DD211F6"/>
    <w:rsid w:val="2E605C06"/>
    <w:rsid w:val="2FA54782"/>
    <w:rsid w:val="32AA0A70"/>
    <w:rsid w:val="34577076"/>
    <w:rsid w:val="35DF63B0"/>
    <w:rsid w:val="3CF75831"/>
    <w:rsid w:val="3D87745C"/>
    <w:rsid w:val="3E955E38"/>
    <w:rsid w:val="3F873C4F"/>
    <w:rsid w:val="450B4F98"/>
    <w:rsid w:val="4E340AF5"/>
    <w:rsid w:val="4E947ABB"/>
    <w:rsid w:val="501736DD"/>
    <w:rsid w:val="517B4171"/>
    <w:rsid w:val="520B7988"/>
    <w:rsid w:val="53C753CB"/>
    <w:rsid w:val="54C86BD1"/>
    <w:rsid w:val="5674632F"/>
    <w:rsid w:val="581A429B"/>
    <w:rsid w:val="5BB03F7F"/>
    <w:rsid w:val="5F7E4163"/>
    <w:rsid w:val="60930A42"/>
    <w:rsid w:val="64AE0340"/>
    <w:rsid w:val="69972701"/>
    <w:rsid w:val="6CE41294"/>
    <w:rsid w:val="6ED6423E"/>
    <w:rsid w:val="7A22414B"/>
    <w:rsid w:val="7CBC68C9"/>
    <w:rsid w:val="7D100046"/>
    <w:rsid w:val="7EEA22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style>
  <w:style w:type="paragraph" w:styleId="3">
    <w:name w:val="index 7"/>
    <w:basedOn w:val="1"/>
    <w:next w:val="1"/>
    <w:unhideWhenUsed/>
    <w:qFormat/>
    <w:uiPriority w:val="99"/>
    <w:pPr>
      <w:ind w:left="252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0"/>
    <w:rPr>
      <w:rFonts w:ascii="Calibri" w:hAnsi="Calibri" w:eastAsia="宋体" w:cs="Times New Roman"/>
      <w:kern w:val="2"/>
      <w:sz w:val="18"/>
      <w:szCs w:val="18"/>
    </w:rPr>
  </w:style>
  <w:style w:type="character" w:customStyle="1" w:styleId="10">
    <w:name w:val="页脚 Char"/>
    <w:basedOn w:val="8"/>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256</Words>
  <Characters>1462</Characters>
  <Lines>12</Lines>
  <Paragraphs>3</Paragraphs>
  <TotalTime>107</TotalTime>
  <ScaleCrop>false</ScaleCrop>
  <LinksUpToDate>false</LinksUpToDate>
  <CharactersWithSpaces>1715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英武</cp:lastModifiedBy>
  <cp:lastPrinted>2022-01-20T06:16:00Z</cp:lastPrinted>
  <dcterms:modified xsi:type="dcterms:W3CDTF">2022-02-10T01:05:04Z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1311041A33344EF2A7E011842B2E8323</vt:lpwstr>
  </property>
</Properties>
</file>