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2021承德高新区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林业水务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局政府信息公开工作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2021年政府信息公开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条，其中信息公开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条，双随机公开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（一）健全机制，加强领导。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贯彻落实好政务公开工作，局领导班子成员专门召开会议进行研究布置，把政务公开工作纳入年度工作目标体系，统一安排，统一部署，统一检查。派专人负责组织监督检查我局政务公开工作，保证工作的全面落实。政务公开能够切实履行职责，形成了领导牵头，上下联动，各方参与，合力推进的政务公开领导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坚持原则，规范程序。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政务信息公开工作坚持严格按照四个原则，即：坚持依法公开、真实公正、注重实效、有利监督的原则。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创新方式，强化学习。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继续贯彻学习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政务公开相关条例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及上级有关政务公开工作的文件精神，采取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定期学习方式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让每个人在学习中不断完善自己，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进一步提高了信息发布员的业务能力和水平，确保了政务信息能及时有效地上传官方网站，使广大群众能及时了解我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6"/>
        <w:gridCol w:w="1873"/>
        <w:gridCol w:w="6"/>
        <w:gridCol w:w="1268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70"/>
        <w:gridCol w:w="1863"/>
        <w:gridCol w:w="762"/>
        <w:gridCol w:w="714"/>
        <w:gridCol w:w="714"/>
        <w:gridCol w:w="762"/>
        <w:gridCol w:w="893"/>
        <w:gridCol w:w="679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3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自然人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商业企业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科研机构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社会公益组织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法律服务机构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三、本年度办理结果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（一）予以公开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（三）不予公开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1.属于国家秘密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2.其他法律行政法规禁止公开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3.危及“三安全一稳定”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4.保护第三方合法权益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5.属于三类内部事务信息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6.属于四类过程性信息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7.属于行政执法案卷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8.属于行政查询事项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（四）无法提供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1.本机关不掌握相关政府信息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2.没有现成信息需要另行制作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3.补正后申请内容仍不明确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（五）不予处理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1.信访举报投诉类申请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2.重复申请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3.要求提供公开出版物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4.无正当理由大量反复申请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（六）其他处理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（七）总计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四、结转下年度继续办理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（一）问题及建议。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我局的信息公开工作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中还有一些不足，距离该项工作的标准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还存在一定差距。在今后的工作中，我们将针对薄弱环节，采取切实有效措施,认真加以解决，进一步完善各项工作制度,总结实践经验，把握公开工作的规律性，坚持及时公布和更新信息，使政府信息公开工作做到有重点、有形式、有载体、有承诺、有实效, 不断提高我局信息公开工作水平,推动政府信息公开工作上新台阶。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承德高新区林业水务局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2022-01-17T07:03:12Z</dcterms:created>
  <dc:creator>admin</dc:creator>
  <cp:lastModifiedBy>WPS_1582721131</cp:lastModifiedBy>
  <cp:lastPrinted>2022-01-17T07:25:40Z</cp:lastPrinted>
  <dcterms:modified xsi:type="dcterms:W3CDTF">2022-01-17T07:33:13Z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3D65A6EC41A1491CB259FF57BF7D142B</vt:lpwstr>
  </property>
</Properties>
</file>