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E41D" w14:textId="6EDD528B" w:rsidR="00942BE3" w:rsidRDefault="001A7230">
      <w:pPr>
        <w:pStyle w:val="a3"/>
        <w:widowControl/>
        <w:spacing w:after="150" w:afterAutospacing="0" w:line="585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高新区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应急</w:t>
      </w:r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局</w:t>
      </w:r>
      <w:proofErr w:type="gramEnd"/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执法检查信息公示表</w:t>
      </w:r>
    </w:p>
    <w:tbl>
      <w:tblPr>
        <w:tblW w:w="9735" w:type="dxa"/>
        <w:tblCellSpacing w:w="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920"/>
        <w:gridCol w:w="30"/>
        <w:gridCol w:w="5200"/>
      </w:tblGrid>
      <w:tr w:rsidR="00942BE3" w14:paraId="6FEDFF0F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A05E9FB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被检查单位：</w:t>
            </w:r>
            <w:r>
              <w:rPr>
                <w:rFonts w:ascii="仿宋" w:eastAsia="仿宋" w:hAnsi="仿宋" w:cs="仿宋" w:hint="eastAsia"/>
              </w:rPr>
              <w:t>承德</w:t>
            </w:r>
            <w:r>
              <w:rPr>
                <w:rFonts w:ascii="仿宋" w:eastAsia="仿宋" w:hAnsi="仿宋" w:cs="仿宋" w:hint="eastAsia"/>
              </w:rPr>
              <w:t>喜宁商贸有限</w:t>
            </w:r>
            <w:r>
              <w:rPr>
                <w:rFonts w:ascii="仿宋" w:eastAsia="仿宋" w:hAnsi="仿宋" w:cs="仿宋" w:hint="eastAsia"/>
              </w:rPr>
              <w:t>公司</w:t>
            </w:r>
            <w:r>
              <w:rPr>
                <w:rFonts w:ascii="仿宋" w:eastAsia="仿宋" w:hAnsi="仿宋" w:cs="仿宋" w:hint="eastAsia"/>
              </w:rPr>
              <w:t>冠峰路加油站</w:t>
            </w:r>
            <w:r>
              <w:rPr>
                <w:rFonts w:ascii="仿宋_GB2312" w:eastAsia="仿宋_GB2312" w:hAnsi="仿宋" w:cs="Calibri" w:hint="eastAsia"/>
              </w:rPr>
              <w:t xml:space="preserve"> </w:t>
            </w:r>
          </w:p>
        </w:tc>
      </w:tr>
      <w:tr w:rsidR="00942BE3" w14:paraId="0BA41CE2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5EE5D7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地</w:t>
            </w:r>
            <w:r>
              <w:rPr>
                <w:rFonts w:ascii="仿宋_GB2312" w:eastAsia="仿宋_GB2312" w:hAnsi="微软雅黑" w:cs="仿宋_GB2312"/>
                <w:color w:val="333333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333333"/>
              </w:rPr>
              <w:t>     </w:t>
            </w:r>
            <w:r>
              <w:rPr>
                <w:rFonts w:ascii="仿宋_GB2312" w:eastAsia="仿宋_GB2312" w:hAnsi="微软雅黑" w:cs="仿宋_GB2312"/>
                <w:color w:val="333333"/>
              </w:rPr>
              <w:t>址：</w:t>
            </w:r>
            <w:r>
              <w:rPr>
                <w:rFonts w:ascii="仿宋" w:eastAsia="仿宋" w:hAnsi="仿宋" w:cs="仿宋" w:hint="eastAsia"/>
              </w:rPr>
              <w:t>承德市</w:t>
            </w:r>
            <w:r>
              <w:rPr>
                <w:rFonts w:ascii="仿宋" w:eastAsia="仿宋" w:hAnsi="仿宋" w:cs="仿宋" w:hint="eastAsia"/>
              </w:rPr>
              <w:t>高新区南区</w:t>
            </w:r>
            <w:r>
              <w:rPr>
                <w:rFonts w:ascii="仿宋" w:eastAsia="仿宋" w:hAnsi="仿宋" w:cs="仿宋" w:hint="eastAsia"/>
              </w:rPr>
              <w:t>C-08</w:t>
            </w:r>
            <w:r>
              <w:rPr>
                <w:rFonts w:ascii="仿宋" w:eastAsia="仿宋" w:hAnsi="仿宋" w:cs="仿宋" w:hint="eastAsia"/>
              </w:rPr>
              <w:t>地块</w:t>
            </w:r>
          </w:p>
        </w:tc>
      </w:tr>
      <w:tr w:rsidR="00942BE3" w14:paraId="5EB67352" w14:textId="77777777">
        <w:trPr>
          <w:trHeight w:val="450"/>
          <w:tblCellSpacing w:w="15" w:type="dxa"/>
        </w:trPr>
        <w:tc>
          <w:tcPr>
            <w:tcW w:w="446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1F4D149" w14:textId="77777777" w:rsidR="00942BE3" w:rsidRDefault="001A7230">
            <w:pPr>
              <w:pStyle w:val="a3"/>
              <w:widowControl/>
              <w:textAlignment w:val="center"/>
              <w:rPr>
                <w:rFonts w:eastAsia="仿宋_GB2312"/>
              </w:rPr>
            </w:pPr>
            <w:r>
              <w:rPr>
                <w:rFonts w:ascii="仿宋_GB2312" w:eastAsia="仿宋_GB2312" w:hAnsi="微软雅黑" w:cs="仿宋_GB2312"/>
                <w:color w:val="333333"/>
              </w:rPr>
              <w:t>统一社会信用代码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91130805MA0CJ6TX2Q</w:t>
            </w:r>
          </w:p>
        </w:tc>
        <w:tc>
          <w:tcPr>
            <w:tcW w:w="518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0DA66D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行政处罚决定书文号：（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承高</w:t>
            </w:r>
            <w:r>
              <w:rPr>
                <w:rFonts w:ascii="仿宋_GB2312" w:eastAsia="仿宋_GB2312" w:hAnsi="微软雅黑" w:cs="仿宋_GB2312"/>
                <w:color w:val="333333"/>
              </w:rPr>
              <w:t>）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应急</w:t>
            </w:r>
            <w:r>
              <w:rPr>
                <w:rFonts w:ascii="仿宋_GB2312" w:eastAsia="仿宋_GB2312" w:hAnsi="微软雅黑" w:cs="仿宋_GB2312"/>
                <w:color w:val="333333"/>
              </w:rPr>
              <w:t>罚〔</w:t>
            </w:r>
            <w:r>
              <w:rPr>
                <w:rFonts w:ascii="仿宋_GB2312" w:eastAsia="仿宋_GB2312" w:hAnsi="微软雅黑" w:cs="仿宋_GB2312"/>
                <w:color w:val="333333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21</w:t>
            </w:r>
            <w:r>
              <w:rPr>
                <w:rFonts w:ascii="仿宋_GB2312" w:eastAsia="仿宋_GB2312" w:hAnsi="微软雅黑" w:cs="仿宋_GB2312"/>
                <w:color w:val="333333"/>
              </w:rPr>
              <w:t>〕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02</w:t>
            </w:r>
            <w:r>
              <w:rPr>
                <w:rFonts w:ascii="仿宋_GB2312" w:eastAsia="仿宋_GB2312" w:hAnsi="微软雅黑" w:cs="仿宋_GB2312"/>
                <w:color w:val="333333"/>
              </w:rPr>
              <w:t>号</w:t>
            </w:r>
          </w:p>
        </w:tc>
      </w:tr>
      <w:tr w:rsidR="00942BE3" w14:paraId="0D26E293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1872F4D2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执法依据：《中华人民共和国安全生产法》</w:t>
            </w:r>
          </w:p>
        </w:tc>
      </w:tr>
      <w:tr w:rsidR="00942BE3" w14:paraId="149F0D53" w14:textId="77777777">
        <w:trPr>
          <w:trHeight w:val="450"/>
          <w:tblCellSpacing w:w="15" w:type="dxa"/>
        </w:trPr>
        <w:tc>
          <w:tcPr>
            <w:tcW w:w="449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7CEE36A" w14:textId="77777777" w:rsidR="00942BE3" w:rsidRDefault="001A7230">
            <w:pPr>
              <w:pStyle w:val="a3"/>
              <w:widowControl/>
              <w:textAlignment w:val="center"/>
              <w:rPr>
                <w:rFonts w:eastAsia="仿宋_GB2312"/>
              </w:rPr>
            </w:pPr>
            <w:r>
              <w:rPr>
                <w:rFonts w:ascii="仿宋_GB2312" w:eastAsia="仿宋_GB2312" w:hAnsi="微软雅黑" w:cs="仿宋_GB2312"/>
                <w:color w:val="333333"/>
              </w:rPr>
              <w:t>案件来源：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执法计划</w:t>
            </w:r>
          </w:p>
        </w:tc>
        <w:tc>
          <w:tcPr>
            <w:tcW w:w="515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6F73452" w14:textId="77777777" w:rsidR="00942BE3" w:rsidRDefault="001A7230">
            <w:pPr>
              <w:pStyle w:val="a3"/>
              <w:widowControl/>
              <w:textAlignment w:val="center"/>
              <w:rPr>
                <w:rFonts w:eastAsia="仿宋_GB2312"/>
              </w:rPr>
            </w:pPr>
            <w:r>
              <w:rPr>
                <w:rFonts w:ascii="仿宋_GB2312" w:eastAsia="仿宋_GB2312" w:hAnsi="微软雅黑" w:cs="仿宋_GB2312"/>
                <w:color w:val="333333"/>
              </w:rPr>
              <w:t>所属行业：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机械制造</w:t>
            </w:r>
          </w:p>
        </w:tc>
      </w:tr>
      <w:tr w:rsidR="00942BE3" w14:paraId="4B98F928" w14:textId="77777777">
        <w:trPr>
          <w:trHeight w:val="450"/>
          <w:tblCellSpacing w:w="15" w:type="dxa"/>
        </w:trPr>
        <w:tc>
          <w:tcPr>
            <w:tcW w:w="449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4CEF355" w14:textId="77777777" w:rsidR="00942BE3" w:rsidRDefault="001A7230">
            <w:pPr>
              <w:pStyle w:val="a3"/>
              <w:widowControl/>
              <w:textAlignment w:val="center"/>
              <w:rPr>
                <w:rFonts w:eastAsia="仿宋_GB2312"/>
              </w:rPr>
            </w:pPr>
            <w:r>
              <w:rPr>
                <w:rFonts w:ascii="仿宋_GB2312" w:eastAsia="仿宋_GB2312" w:hAnsi="微软雅黑" w:cs="仿宋_GB2312"/>
                <w:color w:val="333333"/>
              </w:rPr>
              <w:t>执法处室：</w:t>
            </w:r>
            <w:r>
              <w:rPr>
                <w:rFonts w:ascii="仿宋_GB2312" w:eastAsia="仿宋_GB2312" w:hAnsi="微软雅黑" w:cs="仿宋_GB2312"/>
                <w:color w:val="333333"/>
              </w:rPr>
              <w:t> 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执法大队</w:t>
            </w:r>
          </w:p>
        </w:tc>
        <w:tc>
          <w:tcPr>
            <w:tcW w:w="515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259D6FA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执法人员：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张铁力</w:t>
            </w:r>
            <w:r>
              <w:rPr>
                <w:rFonts w:ascii="仿宋_GB2312" w:eastAsia="仿宋_GB2312" w:hAnsi="微软雅黑" w:cs="仿宋_GB2312"/>
                <w:color w:val="333333"/>
              </w:rPr>
              <w:t>、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李玉龙</w:t>
            </w:r>
          </w:p>
        </w:tc>
      </w:tr>
      <w:tr w:rsidR="00942BE3" w14:paraId="4CFA34F3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69B402F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检查时间：</w:t>
            </w:r>
            <w:r>
              <w:rPr>
                <w:rFonts w:ascii="仿宋_GB2312" w:eastAsia="仿宋_GB2312" w:hAnsi="微软雅黑" w:cs="仿宋_GB2312"/>
                <w:color w:val="333333"/>
              </w:rPr>
              <w:t>20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21</w:t>
            </w:r>
            <w:r>
              <w:rPr>
                <w:rFonts w:ascii="仿宋_GB2312" w:eastAsia="仿宋_GB2312" w:hAnsi="微软雅黑" w:cs="仿宋_GB2312"/>
                <w:color w:val="333333"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5</w:t>
            </w:r>
            <w:r>
              <w:rPr>
                <w:rFonts w:ascii="仿宋_GB2312" w:eastAsia="仿宋_GB2312" w:hAnsi="微软雅黑" w:cs="仿宋_GB2312"/>
                <w:color w:val="333333"/>
              </w:rPr>
              <w:t>月</w:t>
            </w:r>
            <w:r>
              <w:rPr>
                <w:rFonts w:ascii="仿宋_GB2312" w:eastAsia="仿宋_GB2312" w:hAnsi="微软雅黑" w:cs="仿宋_GB2312" w:hint="eastAsia"/>
                <w:color w:val="333333"/>
              </w:rPr>
              <w:t>17</w:t>
            </w:r>
            <w:r>
              <w:rPr>
                <w:rFonts w:ascii="仿宋_GB2312" w:eastAsia="仿宋_GB2312" w:hAnsi="微软雅黑" w:cs="仿宋_GB2312"/>
                <w:color w:val="333333"/>
              </w:rPr>
              <w:t>日</w:t>
            </w:r>
          </w:p>
        </w:tc>
      </w:tr>
      <w:tr w:rsidR="00942BE3" w14:paraId="2A1AA0B4" w14:textId="77777777">
        <w:trPr>
          <w:trHeight w:val="2730"/>
          <w:tblCellSpacing w:w="15" w:type="dxa"/>
        </w:trPr>
        <w:tc>
          <w:tcPr>
            <w:tcW w:w="54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CE1B01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检查情况</w:t>
            </w:r>
          </w:p>
          <w:p w14:paraId="3EEECF34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    </w:t>
            </w:r>
          </w:p>
        </w:tc>
        <w:tc>
          <w:tcPr>
            <w:tcW w:w="910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8FCF8F" w14:textId="77777777" w:rsidR="00942BE3" w:rsidRDefault="001A7230">
            <w:pPr>
              <w:spacing w:line="50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加油岛摆放货物</w:t>
            </w:r>
            <w:r>
              <w:rPr>
                <w:rFonts w:ascii="仿宋" w:eastAsia="仿宋" w:hAnsi="仿宋" w:cs="仿宋" w:hint="eastAsia"/>
                <w:sz w:val="24"/>
              </w:rPr>
              <w:t>；２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号加油机内消防沙不足</w:t>
            </w:r>
            <w:r>
              <w:rPr>
                <w:rFonts w:ascii="仿宋" w:eastAsia="仿宋" w:hAnsi="仿宋" w:cs="仿宋" w:hint="eastAsia"/>
                <w:sz w:val="24"/>
              </w:rPr>
              <w:t>；３</w:t>
            </w:r>
            <w:r>
              <w:rPr>
                <w:rFonts w:ascii="仿宋" w:eastAsia="仿宋" w:hAnsi="仿宋" w:cs="仿宋" w:hint="eastAsia"/>
                <w:sz w:val="24"/>
              </w:rPr>
              <w:t>.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配电室</w:t>
            </w:r>
            <w:r>
              <w:rPr>
                <w:rFonts w:ascii="仿宋" w:eastAsia="仿宋" w:hAnsi="仿宋" w:cs="仿宋" w:hint="eastAsia"/>
                <w:sz w:val="24"/>
              </w:rPr>
              <w:t>未设置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明显的</w:t>
            </w:r>
            <w:r>
              <w:rPr>
                <w:rFonts w:ascii="仿宋" w:eastAsia="仿宋" w:hAnsi="仿宋" w:cs="仿宋" w:hint="eastAsia"/>
                <w:sz w:val="24"/>
              </w:rPr>
              <w:t>安全警示标志；</w:t>
            </w: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配电室内无安全管理制度、操作规程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</w:rPr>
              <w:t>卸油口未上锁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942BE3" w14:paraId="237DF86A" w14:textId="77777777">
        <w:trPr>
          <w:trHeight w:val="3195"/>
          <w:tblCellSpacing w:w="15" w:type="dxa"/>
        </w:trPr>
        <w:tc>
          <w:tcPr>
            <w:tcW w:w="54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93E79D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处理</w:t>
            </w:r>
            <w:proofErr w:type="gramStart"/>
            <w:r>
              <w:rPr>
                <w:rFonts w:ascii="仿宋_GB2312" w:eastAsia="仿宋_GB2312" w:hAnsi="微软雅黑" w:cs="仿宋_GB2312"/>
                <w:color w:val="333333"/>
              </w:rPr>
              <w:t>结果及裁量</w:t>
            </w:r>
            <w:proofErr w:type="gramEnd"/>
            <w:r>
              <w:rPr>
                <w:rFonts w:ascii="仿宋_GB2312" w:eastAsia="仿宋_GB2312" w:hAnsi="微软雅黑" w:cs="仿宋_GB2312"/>
                <w:color w:val="333333"/>
              </w:rPr>
              <w:t>依据</w:t>
            </w:r>
          </w:p>
          <w:p w14:paraId="77296426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</w:rPr>
              <w:t>     </w:t>
            </w:r>
          </w:p>
        </w:tc>
        <w:tc>
          <w:tcPr>
            <w:tcW w:w="910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F3F826" w14:textId="77777777" w:rsidR="00942BE3" w:rsidRDefault="001A7230">
            <w:pPr>
              <w:pStyle w:val="a3"/>
              <w:widowControl/>
              <w:spacing w:line="360" w:lineRule="auto"/>
              <w:ind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以上第</w:t>
            </w: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</w:rPr>
              <w:t>、</w:t>
            </w:r>
            <w:r>
              <w:rPr>
                <w:rFonts w:ascii="仿宋" w:eastAsia="仿宋" w:hAnsi="仿宋" w:cs="仿宋" w:hint="eastAsia"/>
                <w:color w:val="333333"/>
              </w:rPr>
              <w:t>5</w:t>
            </w:r>
            <w:r>
              <w:rPr>
                <w:rFonts w:ascii="仿宋" w:eastAsia="仿宋" w:hAnsi="仿宋" w:cs="仿宋" w:hint="eastAsia"/>
                <w:color w:val="333333"/>
              </w:rPr>
              <w:t>项行为</w:t>
            </w:r>
            <w:r>
              <w:rPr>
                <w:rFonts w:ascii="仿宋" w:eastAsia="仿宋" w:hAnsi="仿宋" w:cs="仿宋" w:hint="eastAsia"/>
              </w:rPr>
              <w:t>违反了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bookmarkStart w:id="0" w:name="_Hlk514162199"/>
            <w:r>
              <w:rPr>
                <w:rFonts w:ascii="仿宋" w:eastAsia="仿宋" w:hAnsi="仿宋" w:cs="仿宋" w:hint="eastAsia"/>
                <w:bCs/>
              </w:rPr>
              <w:t>中华人民共和国安全生产法</w:t>
            </w:r>
            <w:bookmarkEnd w:id="0"/>
            <w:r>
              <w:rPr>
                <w:rFonts w:ascii="仿宋" w:eastAsia="仿宋" w:hAnsi="仿宋" w:cs="仿宋" w:hint="eastAsia"/>
                <w:bCs/>
              </w:rPr>
              <w:t>》</w:t>
            </w:r>
            <w:r>
              <w:rPr>
                <w:rFonts w:ascii="仿宋" w:eastAsia="仿宋" w:hAnsi="仿宋" w:cs="仿宋" w:hint="eastAsia"/>
                <w:bCs/>
              </w:rPr>
              <w:t>，第</w:t>
            </w:r>
            <w:r>
              <w:rPr>
                <w:rFonts w:ascii="仿宋" w:eastAsia="仿宋" w:hAnsi="仿宋" w:cs="仿宋" w:hint="eastAsia"/>
                <w:bCs/>
              </w:rPr>
              <w:t>三十二</w:t>
            </w:r>
            <w:r>
              <w:rPr>
                <w:rFonts w:ascii="仿宋" w:eastAsia="仿宋" w:hAnsi="仿宋" w:cs="仿宋" w:hint="eastAsia"/>
                <w:bCs/>
              </w:rPr>
              <w:t>条</w:t>
            </w:r>
            <w:r>
              <w:rPr>
                <w:rFonts w:ascii="仿宋" w:eastAsia="仿宋" w:hAnsi="仿宋" w:cs="仿宋" w:hint="eastAsia"/>
                <w:kern w:val="2"/>
              </w:rPr>
              <w:t>的规定，依据</w:t>
            </w:r>
            <w:r>
              <w:rPr>
                <w:rFonts w:ascii="仿宋" w:eastAsia="仿宋" w:hAnsi="仿宋" w:cs="仿宋" w:hint="eastAsia"/>
                <w:bCs/>
              </w:rPr>
              <w:t>《中华人民共和国安全生产法》第九十</w:t>
            </w:r>
            <w:r>
              <w:rPr>
                <w:rFonts w:ascii="仿宋" w:eastAsia="仿宋" w:hAnsi="仿宋" w:cs="仿宋" w:hint="eastAsia"/>
                <w:bCs/>
              </w:rPr>
              <w:t>六</w:t>
            </w:r>
            <w:r>
              <w:rPr>
                <w:rFonts w:ascii="仿宋" w:eastAsia="仿宋" w:hAnsi="仿宋" w:cs="仿宋" w:hint="eastAsia"/>
                <w:bCs/>
              </w:rPr>
              <w:t>条第（</w:t>
            </w:r>
            <w:r>
              <w:rPr>
                <w:rFonts w:ascii="仿宋" w:eastAsia="仿宋" w:hAnsi="仿宋" w:cs="仿宋" w:hint="eastAsia"/>
                <w:bCs/>
              </w:rPr>
              <w:t>一</w:t>
            </w:r>
            <w:r>
              <w:rPr>
                <w:rFonts w:ascii="仿宋" w:eastAsia="仿宋" w:hAnsi="仿宋" w:cs="仿宋" w:hint="eastAsia"/>
                <w:bCs/>
              </w:rPr>
              <w:t>）项</w:t>
            </w:r>
            <w:r>
              <w:rPr>
                <w:rFonts w:ascii="仿宋" w:eastAsia="仿宋" w:hAnsi="仿宋" w:cs="仿宋" w:hint="eastAsia"/>
              </w:rPr>
              <w:t>和《河北省安全生产行政处罚自由裁量标准（试行）》</w:t>
            </w:r>
            <w:r>
              <w:rPr>
                <w:rFonts w:ascii="仿宋" w:eastAsia="仿宋" w:hAnsi="仿宋" w:cs="仿宋" w:hint="eastAsia"/>
              </w:rPr>
              <w:t>(2018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)</w:t>
            </w:r>
            <w:r>
              <w:rPr>
                <w:rFonts w:ascii="仿宋" w:eastAsia="仿宋" w:hAnsi="仿宋" w:cs="仿宋" w:hint="eastAsia"/>
                <w:kern w:val="2"/>
              </w:rPr>
              <w:t>规定，</w:t>
            </w:r>
            <w:r>
              <w:rPr>
                <w:rFonts w:ascii="仿宋" w:eastAsia="仿宋" w:hAnsi="仿宋" w:cs="仿宋" w:hint="eastAsia"/>
                <w:color w:val="333333"/>
              </w:rPr>
              <w:t>决定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责令限期整改，第</w:t>
            </w: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</w:rPr>
              <w:t>项行为处</w:t>
            </w:r>
            <w:r>
              <w:rPr>
                <w:rFonts w:ascii="仿宋" w:eastAsia="仿宋" w:hAnsi="仿宋" w:cs="仿宋" w:hint="eastAsia"/>
                <w:color w:val="333333"/>
              </w:rPr>
              <w:t>壹万</w:t>
            </w:r>
            <w:r>
              <w:rPr>
                <w:rFonts w:ascii="仿宋" w:eastAsia="仿宋" w:hAnsi="仿宋" w:cs="仿宋" w:hint="eastAsia"/>
                <w:color w:val="333333"/>
              </w:rPr>
              <w:t>元罚款的行政处罚。</w:t>
            </w:r>
          </w:p>
          <w:p w14:paraId="6F838479" w14:textId="77777777" w:rsidR="00942BE3" w:rsidRDefault="001A7230">
            <w:pPr>
              <w:pStyle w:val="a3"/>
              <w:widowControl/>
              <w:spacing w:line="525" w:lineRule="atLeast"/>
              <w:ind w:firstLine="465"/>
            </w:pPr>
            <w:r>
              <w:rPr>
                <w:rFonts w:ascii="仿宋_GB2312" w:eastAsia="仿宋_GB2312" w:hAnsi="微软雅黑" w:cs="仿宋_GB2312"/>
                <w:color w:val="333333"/>
              </w:rPr>
              <w:t> </w:t>
            </w:r>
          </w:p>
        </w:tc>
      </w:tr>
      <w:tr w:rsidR="00942BE3" w14:paraId="77F325AE" w14:textId="77777777">
        <w:trPr>
          <w:trHeight w:val="1605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AFC80F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行政相对人救济权告知情况：</w:t>
            </w:r>
          </w:p>
          <w:p w14:paraId="1C9AC137" w14:textId="77777777" w:rsidR="00942BE3" w:rsidRDefault="001A723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    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在依法下达指令、决定或采取措施等行政行为时，已明确告知行政相对人：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“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如果不服本处罚决定，可以依法在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60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日内向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开发区管委会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或者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承德市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应急管理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局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申请行政复议，或者在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6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个月内依法向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双桥区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人民法院提起行政诉讼，但本决定不停止执行，法律另有规定的除外。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”</w:t>
            </w:r>
          </w:p>
        </w:tc>
      </w:tr>
    </w:tbl>
    <w:p w14:paraId="45F98816" w14:textId="77777777" w:rsidR="00942BE3" w:rsidRDefault="001A7230">
      <w:pPr>
        <w:pStyle w:val="a3"/>
        <w:widowControl/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sectPr w:rsidR="0094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1502C3"/>
    <w:rsid w:val="001A7230"/>
    <w:rsid w:val="00942BE3"/>
    <w:rsid w:val="0E1502C3"/>
    <w:rsid w:val="12F2139B"/>
    <w:rsid w:val="1F367567"/>
    <w:rsid w:val="494F58D2"/>
    <w:rsid w:val="4AB40AA3"/>
    <w:rsid w:val="6D535020"/>
    <w:rsid w:val="7D1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00ABD"/>
  <w15:docId w15:val="{8DA25F5A-B25D-4985-B9F9-E1E457DC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character" w:customStyle="1" w:styleId="loca">
    <w:name w:val="loc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2018-12-05T02:05:00Z</cp:lastPrinted>
  <dcterms:created xsi:type="dcterms:W3CDTF">2018-12-05T01:56:00Z</dcterms:created>
  <dcterms:modified xsi:type="dcterms:W3CDTF">2021-12-24T08:14:00Z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E4473F712E0746E39DE886777169F30E</vt:lpwstr>
  </property>
</Properties>
</file>