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承德高新区2020年政府信息公开工作</w:t>
      </w:r>
    </w:p>
    <w:p>
      <w:pPr>
        <w:spacing w:line="600" w:lineRule="exact"/>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年度报告</w:t>
      </w:r>
    </w:p>
    <w:p>
      <w:pPr>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2020年以来，承德高新区管委会高度重视政务信息公开工作，严格贯彻《中华人民共和国政府信息公开条例》《2020年政务公开工作要点》等文件精神，坚持以公开为常态，以不公开为例外的原则，不断强化制度建设，深化公开内容，拓展公开渠道，切实回应百姓关心的热点难点问题。现将我区2020年政务信息工作报告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黑体" w:hAnsi="黑体" w:eastAsia="黑体" w:cs="黑体"/>
          <w:sz w:val="32"/>
          <w:szCs w:val="32"/>
        </w:rPr>
        <w:t>一、政务信息公开具体完成情况。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一是完善制度，提高实效。一是</w:t>
      </w:r>
      <w:r>
        <w:rPr>
          <w:rFonts w:hint="eastAsia" w:ascii="仿宋" w:hAnsi="仿宋" w:eastAsia="仿宋" w:cs="仿宋"/>
          <w:sz w:val="32"/>
          <w:szCs w:val="32"/>
        </w:rPr>
        <w:t>强化工作机制。及时调整区政务公开工作领导小组，完善政务公开协调机制。</w:t>
      </w:r>
      <w:r>
        <w:rPr>
          <w:rFonts w:hint="eastAsia" w:ascii="仿宋" w:hAnsi="仿宋" w:eastAsia="仿宋" w:cs="仿宋"/>
          <w:bCs/>
          <w:sz w:val="32"/>
          <w:szCs w:val="32"/>
        </w:rPr>
        <w:t>按季度</w:t>
      </w:r>
      <w:r>
        <w:rPr>
          <w:rFonts w:hint="eastAsia" w:ascii="仿宋" w:hAnsi="仿宋" w:eastAsia="仿宋" w:cs="仿宋"/>
          <w:kern w:val="0"/>
          <w:sz w:val="32"/>
          <w:szCs w:val="32"/>
        </w:rPr>
        <w:t>对全区各部门政务信息公开工作进行不定期检查，检查结果纳入年终考核。</w:t>
      </w:r>
      <w:r>
        <w:rPr>
          <w:rFonts w:hint="eastAsia" w:ascii="仿宋" w:hAnsi="仿宋" w:eastAsia="仿宋" w:cs="仿宋"/>
          <w:sz w:val="32"/>
          <w:szCs w:val="32"/>
        </w:rPr>
        <w:t>印发《承德高新区管委会关于印发承德高新区政务公开工作要点的通知》《关于2020年承德高新区政务公开工作督导检查情况通报》《承德高新区党政办关于印发承德高新区管委会政务信息公开工作考核办法》等文件，进一步规范我区政务公开工作机制，提升我区政务公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是</w:t>
      </w:r>
      <w:r>
        <w:rPr>
          <w:rFonts w:hint="eastAsia" w:ascii="仿宋_GB2312" w:hAnsi="仿宋_GB2312" w:eastAsia="仿宋_GB2312" w:cs="仿宋_GB2312"/>
          <w:sz w:val="32"/>
          <w:szCs w:val="32"/>
        </w:rPr>
        <w:t>加大政务信息公开数量，涉及重点领域信息信息、重点工程建设、土地征收、棚户区改造、扶贫攻坚、公共服务等全区共公开各类信息2千余条。按季度向市档案局上报高新区政府信息公开材料，全年共上报信息28条。</w:t>
      </w:r>
    </w:p>
    <w:p>
      <w:pPr>
        <w:pStyle w:val="2"/>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持续加强政策解读工作。我区解读与老百姓息息相关的重要政策文件。严格按照政策解读流程，明确解读主体、时限、内容、形式，及时在区门户网站公开。全年共解读14条。</w:t>
      </w:r>
    </w:p>
    <w:p>
      <w:pPr>
        <w:spacing w:line="580" w:lineRule="exact"/>
        <w:rPr>
          <w:rFonts w:ascii="黑体" w:hAnsi="黑体" w:eastAsia="黑体" w:cs="黑体"/>
          <w:sz w:val="32"/>
          <w:szCs w:val="32"/>
        </w:rPr>
      </w:pPr>
      <w:r>
        <w:rPr>
          <w:rFonts w:hint="eastAsia" w:ascii="黑体" w:hAnsi="黑体" w:eastAsia="黑体" w:cs="黑体"/>
          <w:sz w:val="32"/>
          <w:szCs w:val="32"/>
        </w:rPr>
        <w:t>二、主动公开情况</w:t>
      </w:r>
    </w:p>
    <w:p>
      <w:pPr>
        <w:pStyle w:val="2"/>
      </w:pPr>
    </w:p>
    <w:tbl>
      <w:tblPr>
        <w:tblStyle w:val="6"/>
        <w:tblW w:w="9280" w:type="dxa"/>
        <w:jc w:val="center"/>
        <w:tblLayout w:type="autofit"/>
        <w:tblCellMar>
          <w:top w:w="0" w:type="dxa"/>
          <w:left w:w="0" w:type="dxa"/>
          <w:bottom w:w="0" w:type="dxa"/>
          <w:right w:w="0" w:type="dxa"/>
        </w:tblCellMar>
      </w:tblPr>
      <w:tblGrid>
        <w:gridCol w:w="2427"/>
        <w:gridCol w:w="2284"/>
        <w:gridCol w:w="2284"/>
        <w:gridCol w:w="2285"/>
      </w:tblGrid>
      <w:tr>
        <w:tblPrEx>
          <w:tblCellMar>
            <w:top w:w="0" w:type="dxa"/>
            <w:left w:w="0" w:type="dxa"/>
            <w:bottom w:w="0" w:type="dxa"/>
            <w:right w:w="0" w:type="dxa"/>
          </w:tblCellMar>
        </w:tblPrEx>
        <w:trPr>
          <w:trHeight w:val="580" w:hRule="atLeast"/>
          <w:jc w:val="center"/>
        </w:trPr>
        <w:tc>
          <w:tcPr>
            <w:tcW w:w="92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政府信息公开条例第二十条第（一）项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本年新制作数量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本年新公开数量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对外公开总数量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规章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规范性文件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cs="宋体"/>
                <w:color w:val="000000"/>
                <w:sz w:val="22"/>
                <w:szCs w:val="22"/>
              </w:rPr>
            </w:pPr>
            <w:r>
              <w:rPr>
                <w:rFonts w:hint="eastAsia" w:ascii="宋体" w:hAnsi="宋体" w:cs="宋体"/>
                <w:color w:val="000000"/>
                <w:sz w:val="22"/>
                <w:szCs w:val="22"/>
              </w:rPr>
              <w:t>6</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政府信息公开条例第二十条第（五）项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行政许可</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default" w:ascii="宋体" w:hAnsi="宋体" w:eastAsia="宋体" w:cs="宋体"/>
                <w:kern w:val="0"/>
                <w:sz w:val="24"/>
                <w:lang w:val="en-US" w:eastAsia="zh-CN"/>
              </w:rPr>
            </w:pPr>
            <w:r>
              <w:rPr>
                <w:rFonts w:hint="eastAsia" w:ascii="宋体" w:hAnsi="宋体" w:cs="宋体"/>
                <w:color w:val="000000"/>
                <w:kern w:val="0"/>
                <w:sz w:val="20"/>
                <w:szCs w:val="20"/>
                <w:lang w:val="en-US" w:eastAsia="zh-CN"/>
              </w:rPr>
              <w:t>1381</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default" w:ascii="宋体" w:hAnsi="宋体" w:eastAsia="宋体" w:cs="宋体"/>
                <w:kern w:val="0"/>
                <w:sz w:val="24"/>
                <w:lang w:val="en-US" w:eastAsia="zh-CN"/>
              </w:rPr>
            </w:pPr>
            <w:r>
              <w:rPr>
                <w:rFonts w:hint="eastAsia" w:ascii="宋体" w:hAnsi="宋体" w:cs="宋体"/>
                <w:color w:val="000000"/>
                <w:kern w:val="0"/>
                <w:sz w:val="20"/>
                <w:szCs w:val="20"/>
                <w:lang w:val="en-US" w:eastAsia="zh-CN"/>
              </w:rPr>
              <w:t>468</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其他对外管理服务事项</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default" w:ascii="宋体" w:hAnsi="宋体" w:eastAsia="宋体" w:cs="宋体"/>
                <w:kern w:val="0"/>
                <w:sz w:val="24"/>
                <w:lang w:val="en-US" w:eastAsia="zh-CN"/>
              </w:rPr>
            </w:pPr>
            <w:r>
              <w:rPr>
                <w:rFonts w:hint="eastAsia" w:ascii="宋体" w:hAnsi="宋体" w:cs="宋体"/>
                <w:color w:val="000000"/>
                <w:kern w:val="0"/>
                <w:sz w:val="20"/>
                <w:szCs w:val="20"/>
                <w:lang w:val="en-US" w:eastAsia="zh-CN"/>
              </w:rPr>
              <w:t>3328</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eastAsia" w:ascii="宋体" w:hAnsi="宋体" w:eastAsia="宋体" w:cs="宋体"/>
                <w:kern w:val="0"/>
                <w:sz w:val="24"/>
                <w:lang w:eastAsia="zh-CN"/>
              </w:rPr>
            </w:pPr>
            <w:r>
              <w:rPr>
                <w:rFonts w:hint="eastAsia" w:ascii="宋体" w:hAnsi="宋体" w:cs="宋体"/>
                <w:color w:val="000000"/>
                <w:kern w:val="0"/>
                <w:sz w:val="20"/>
                <w:szCs w:val="20"/>
                <w:lang w:val="en-US" w:eastAsia="zh-CN"/>
              </w:rPr>
              <w:t>0</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ascii="宋体" w:hAnsi="宋体" w:cs="宋体"/>
                <w:kern w:val="0"/>
                <w:sz w:val="24"/>
              </w:rPr>
            </w:pPr>
            <w:r>
              <w:rPr>
                <w:rFonts w:hint="eastAsia" w:ascii="宋体" w:hAnsi="宋体" w:cs="宋体"/>
                <w:color w:val="000000"/>
                <w:kern w:val="0"/>
                <w:sz w:val="20"/>
                <w:szCs w:val="20"/>
              </w:rPr>
              <w:t>7295</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政府信息公开条例第二十条第（六）项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处理决定数量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行政处罚</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default" w:ascii="宋体" w:hAnsi="宋体" w:eastAsia="宋体" w:cs="宋体"/>
                <w:kern w:val="0"/>
                <w:sz w:val="24"/>
                <w:lang w:val="en-US" w:eastAsia="zh-CN"/>
              </w:rPr>
            </w:pPr>
            <w:r>
              <w:rPr>
                <w:rFonts w:hint="eastAsia" w:ascii="宋体" w:hAnsi="宋体" w:cs="宋体"/>
                <w:color w:val="000000"/>
                <w:kern w:val="0"/>
                <w:sz w:val="20"/>
                <w:szCs w:val="20"/>
                <w:lang w:val="en-US" w:eastAsia="zh-CN"/>
              </w:rPr>
              <w:t>468</w:t>
            </w:r>
          </w:p>
        </w:tc>
        <w:tc>
          <w:tcPr>
            <w:tcW w:w="20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default" w:ascii="宋体" w:hAnsi="宋体" w:eastAsia="宋体" w:cs="宋体"/>
                <w:kern w:val="0"/>
                <w:sz w:val="24"/>
                <w:lang w:val="en-US" w:eastAsia="zh-CN"/>
              </w:rPr>
            </w:pPr>
            <w:r>
              <w:rPr>
                <w:rFonts w:hint="eastAsia" w:ascii="宋体" w:hAnsi="宋体" w:cs="宋体"/>
                <w:color w:val="000000"/>
                <w:kern w:val="0"/>
                <w:sz w:val="20"/>
                <w:szCs w:val="20"/>
                <w:lang w:val="en-US" w:eastAsia="zh-CN"/>
              </w:rPr>
              <w:t>18</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180" w:line="480" w:lineRule="auto"/>
              <w:jc w:val="left"/>
              <w:rPr>
                <w:rFonts w:hint="default" w:ascii="宋体" w:hAnsi="宋体" w:eastAsia="宋体" w:cs="宋体"/>
                <w:kern w:val="0"/>
                <w:sz w:val="24"/>
                <w:lang w:val="en-US" w:eastAsia="zh-CN"/>
              </w:rPr>
            </w:pPr>
            <w:r>
              <w:rPr>
                <w:rFonts w:hint="eastAsia" w:ascii="宋体" w:hAnsi="宋体" w:cs="宋体"/>
                <w:color w:val="000000"/>
                <w:kern w:val="0"/>
                <w:sz w:val="20"/>
                <w:szCs w:val="20"/>
              </w:rPr>
              <w:t>2</w:t>
            </w:r>
            <w:r>
              <w:rPr>
                <w:rFonts w:hint="eastAsia" w:ascii="宋体" w:hAnsi="宋体" w:cs="宋体"/>
                <w:color w:val="000000"/>
                <w:kern w:val="0"/>
                <w:sz w:val="20"/>
                <w:szCs w:val="20"/>
                <w:lang w:val="en-US" w:eastAsia="zh-CN"/>
              </w:rPr>
              <w:t>52</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行政强制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3</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政府信息公开条例第二十条第（八）项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上一年项目数量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本年增/减</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行政事业性收费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58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政府信息公开条例第二十条第（九）项</w:t>
            </w:r>
          </w:p>
        </w:tc>
      </w:tr>
      <w:tr>
        <w:tblPrEx>
          <w:tblCellMar>
            <w:top w:w="0" w:type="dxa"/>
            <w:left w:w="0" w:type="dxa"/>
            <w:bottom w:w="0" w:type="dxa"/>
            <w:right w:w="0" w:type="dxa"/>
          </w:tblCellMar>
        </w:tblPrEx>
        <w:trPr>
          <w:trHeight w:val="5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信息内容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采购项目数量</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采购总金额</w:t>
            </w:r>
          </w:p>
        </w:tc>
      </w:tr>
      <w:tr>
        <w:tblPrEx>
          <w:tblCellMar>
            <w:top w:w="0" w:type="dxa"/>
            <w:left w:w="0" w:type="dxa"/>
            <w:bottom w:w="0" w:type="dxa"/>
            <w:right w:w="0" w:type="dxa"/>
          </w:tblCellMar>
        </w:tblPrEx>
        <w:trPr>
          <w:trHeight w:val="5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政府集中采购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58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8477万元</w:t>
            </w:r>
          </w:p>
        </w:tc>
      </w:tr>
    </w:tbl>
    <w:p>
      <w:pPr>
        <w:tabs>
          <w:tab w:val="left" w:pos="6024"/>
        </w:tabs>
        <w:jc w:val="left"/>
      </w:pPr>
    </w:p>
    <w:p>
      <w:pPr>
        <w:pStyle w:val="2"/>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739" w:type="dxa"/>
        <w:jc w:val="center"/>
        <w:tblLayout w:type="autofit"/>
        <w:tblCellMar>
          <w:top w:w="0" w:type="dxa"/>
          <w:left w:w="0" w:type="dxa"/>
          <w:bottom w:w="0" w:type="dxa"/>
          <w:right w:w="0" w:type="dxa"/>
        </w:tblCellMar>
      </w:tblPr>
      <w:tblGrid>
        <w:gridCol w:w="757"/>
        <w:gridCol w:w="870"/>
        <w:gridCol w:w="1530"/>
        <w:gridCol w:w="842"/>
        <w:gridCol w:w="1010"/>
        <w:gridCol w:w="1010"/>
        <w:gridCol w:w="1010"/>
        <w:gridCol w:w="1010"/>
        <w:gridCol w:w="773"/>
        <w:gridCol w:w="927"/>
      </w:tblGrid>
      <w:tr>
        <w:tblPrEx>
          <w:tblCellMar>
            <w:top w:w="0" w:type="dxa"/>
            <w:left w:w="0" w:type="dxa"/>
            <w:bottom w:w="0" w:type="dxa"/>
            <w:right w:w="0" w:type="dxa"/>
          </w:tblCellMar>
        </w:tblPrEx>
        <w:trPr>
          <w:trHeight w:val="639" w:hRule="atLeast"/>
          <w:jc w:val="center"/>
        </w:trPr>
        <w:tc>
          <w:tcPr>
            <w:tcW w:w="315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（本列数据的勾稽关系为：第一项加第二项之和，等于第三项加第四项之和）</w:t>
            </w:r>
          </w:p>
        </w:tc>
        <w:tc>
          <w:tcPr>
            <w:tcW w:w="65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申请人情况</w:t>
            </w:r>
          </w:p>
        </w:tc>
      </w:tr>
      <w:tr>
        <w:tblPrEx>
          <w:tblCellMar>
            <w:top w:w="0" w:type="dxa"/>
            <w:left w:w="0" w:type="dxa"/>
            <w:bottom w:w="0" w:type="dxa"/>
            <w:right w:w="0" w:type="dxa"/>
          </w:tblCellMar>
        </w:tblPrEx>
        <w:trPr>
          <w:trHeight w:val="639" w:hRule="atLeast"/>
          <w:jc w:val="center"/>
        </w:trPr>
        <w:tc>
          <w:tcPr>
            <w:tcW w:w="3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4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自然人</w:t>
            </w:r>
          </w:p>
        </w:tc>
        <w:tc>
          <w:tcPr>
            <w:tcW w:w="48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法人或其他组织</w:t>
            </w:r>
          </w:p>
        </w:tc>
        <w:tc>
          <w:tcPr>
            <w:tcW w:w="9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737" w:hRule="atLeast"/>
          <w:jc w:val="center"/>
        </w:trPr>
        <w:tc>
          <w:tcPr>
            <w:tcW w:w="315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商业企业</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科研机构</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社会公益组织</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法律服务机构</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其他</w:t>
            </w:r>
          </w:p>
        </w:tc>
        <w:tc>
          <w:tcPr>
            <w:tcW w:w="9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737" w:hRule="atLeast"/>
          <w:jc w:val="center"/>
        </w:trPr>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一、本年新收政府信息公开申请数量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w:t>
            </w:r>
          </w:p>
        </w:tc>
      </w:tr>
      <w:tr>
        <w:tblPrEx>
          <w:tblCellMar>
            <w:top w:w="0" w:type="dxa"/>
            <w:left w:w="0" w:type="dxa"/>
            <w:bottom w:w="0" w:type="dxa"/>
            <w:right w:w="0" w:type="dxa"/>
          </w:tblCellMar>
        </w:tblPrEx>
        <w:trPr>
          <w:trHeight w:val="737" w:hRule="atLeast"/>
          <w:jc w:val="center"/>
        </w:trPr>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二、上年结转政府信息公开申请数量</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（一）予以公开</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r>
      <w:tr>
        <w:tblPrEx>
          <w:tblCellMar>
            <w:top w:w="0" w:type="dxa"/>
            <w:left w:w="0" w:type="dxa"/>
            <w:bottom w:w="0" w:type="dxa"/>
            <w:right w:w="0" w:type="dxa"/>
          </w:tblCellMar>
        </w:tblPrEx>
        <w:trPr>
          <w:trHeight w:val="1133"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（二）部分公开（区分处理的，只计这一情形，不计其他情形）</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（三）不予公开</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1.属于国家秘密</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2.其他法律行政法规禁止公开</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3.危及“三安全一稳定”</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4.保护第三方合法权益</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5.属于三类内部事务信息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6.属于四类过程性信息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7.属于行政执法案卷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8.属于行政查询事项</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757"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三、本年度办理结果                    </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（四）无法提供</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1.本机关不掌握相关政府信息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55"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2.没有现成信息需要另行制作</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856"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3.补正后申请内容仍不明确</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57"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（五）不予处理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1.信访举报投诉类申请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78"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2.重复申请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698"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3.要求提供公开出版物</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797"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4.无正当理由大量反复申请</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1272"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5.要求行政机关确认或重新出具已获取信息</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（六）其他处理</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r>
        <w:tblPrEx>
          <w:tblCellMar>
            <w:top w:w="0" w:type="dxa"/>
            <w:left w:w="0" w:type="dxa"/>
            <w:bottom w:w="0" w:type="dxa"/>
            <w:right w:w="0" w:type="dxa"/>
          </w:tblCellMar>
        </w:tblPrEx>
        <w:trPr>
          <w:trHeight w:val="915" w:hRule="atLeast"/>
          <w:jc w:val="center"/>
        </w:trPr>
        <w:tc>
          <w:tcPr>
            <w:tcW w:w="757"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（七）总计</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r>
      <w:tr>
        <w:tblPrEx>
          <w:tblCellMar>
            <w:top w:w="0" w:type="dxa"/>
            <w:left w:w="0" w:type="dxa"/>
            <w:bottom w:w="0" w:type="dxa"/>
            <w:right w:w="0" w:type="dxa"/>
          </w:tblCellMar>
        </w:tblPrEx>
        <w:trPr>
          <w:trHeight w:val="826" w:hRule="atLeast"/>
          <w:jc w:val="center"/>
        </w:trPr>
        <w:tc>
          <w:tcPr>
            <w:tcW w:w="31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四、结转下年度继续办理</w:t>
            </w:r>
          </w:p>
        </w:tc>
        <w:tc>
          <w:tcPr>
            <w:tcW w:w="8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1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c>
          <w:tcPr>
            <w:tcW w:w="9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r>
              <w:rPr>
                <w:rFonts w:hint="eastAsia" w:ascii="宋体" w:hAnsi="宋体" w:cs="宋体"/>
                <w:color w:val="000000"/>
                <w:sz w:val="22"/>
                <w:szCs w:val="22"/>
              </w:rPr>
              <w:t>0</w:t>
            </w:r>
          </w:p>
        </w:tc>
      </w:tr>
    </w:tbl>
    <w:p>
      <w:pPr>
        <w:pStyle w:val="2"/>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6"/>
        <w:tblW w:w="9819" w:type="dxa"/>
        <w:jc w:val="center"/>
        <w:tblLayout w:type="autofit"/>
        <w:tblCellMar>
          <w:top w:w="0" w:type="dxa"/>
          <w:left w:w="0" w:type="dxa"/>
          <w:bottom w:w="0" w:type="dxa"/>
          <w:right w:w="0" w:type="dxa"/>
        </w:tblCellMar>
      </w:tblPr>
      <w:tblGrid>
        <w:gridCol w:w="654"/>
        <w:gridCol w:w="654"/>
        <w:gridCol w:w="654"/>
        <w:gridCol w:w="654"/>
        <w:gridCol w:w="657"/>
        <w:gridCol w:w="654"/>
        <w:gridCol w:w="654"/>
        <w:gridCol w:w="654"/>
        <w:gridCol w:w="654"/>
        <w:gridCol w:w="657"/>
        <w:gridCol w:w="654"/>
        <w:gridCol w:w="654"/>
        <w:gridCol w:w="654"/>
        <w:gridCol w:w="654"/>
        <w:gridCol w:w="657"/>
      </w:tblGrid>
      <w:tr>
        <w:tblPrEx>
          <w:tblCellMar>
            <w:top w:w="0" w:type="dxa"/>
            <w:left w:w="0" w:type="dxa"/>
            <w:bottom w:w="0" w:type="dxa"/>
            <w:right w:w="0" w:type="dxa"/>
          </w:tblCellMar>
        </w:tblPrEx>
        <w:trPr>
          <w:trHeight w:val="868" w:hRule="atLeast"/>
          <w:jc w:val="center"/>
        </w:trPr>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行政复议</w:t>
            </w:r>
          </w:p>
        </w:tc>
        <w:tc>
          <w:tcPr>
            <w:tcW w:w="6546"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行政诉讼</w:t>
            </w:r>
          </w:p>
        </w:tc>
      </w:tr>
      <w:tr>
        <w:tblPrEx>
          <w:tblCellMar>
            <w:top w:w="0" w:type="dxa"/>
            <w:left w:w="0" w:type="dxa"/>
            <w:bottom w:w="0" w:type="dxa"/>
            <w:right w:w="0" w:type="dxa"/>
          </w:tblCellMar>
        </w:tblPrEx>
        <w:trPr>
          <w:trHeight w:val="1110" w:hRule="atLeast"/>
          <w:jc w:val="center"/>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未经复议直接起诉</w:t>
            </w:r>
          </w:p>
        </w:tc>
        <w:tc>
          <w:tcPr>
            <w:tcW w:w="327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复议后起诉</w:t>
            </w:r>
          </w:p>
        </w:tc>
      </w:tr>
      <w:tr>
        <w:tblPrEx>
          <w:tblCellMar>
            <w:top w:w="0" w:type="dxa"/>
            <w:left w:w="0" w:type="dxa"/>
            <w:bottom w:w="0" w:type="dxa"/>
            <w:right w:w="0" w:type="dxa"/>
          </w:tblCellMar>
        </w:tblPrEx>
        <w:trPr>
          <w:trHeight w:val="1680" w:hRule="atLeast"/>
          <w:jc w:val="center"/>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结果维持</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结果纠正</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其他结果</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尚未审结</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总计</w:t>
            </w:r>
          </w:p>
        </w:tc>
      </w:tr>
      <w:tr>
        <w:tblPrEx>
          <w:tblCellMar>
            <w:top w:w="0" w:type="dxa"/>
            <w:left w:w="0" w:type="dxa"/>
            <w:bottom w:w="0" w:type="dxa"/>
            <w:right w:w="0" w:type="dxa"/>
          </w:tblCellMar>
        </w:tblPrEx>
        <w:trPr>
          <w:trHeight w:val="1551"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r>
              <w:rPr>
                <w:rFonts w:hint="eastAsia" w:ascii="宋体" w:hAnsi="宋体" w:cs="宋体"/>
                <w:color w:val="000000"/>
                <w:sz w:val="22"/>
                <w:szCs w:val="22"/>
              </w:rPr>
              <w:t>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0</w:t>
            </w:r>
          </w:p>
        </w:tc>
      </w:tr>
    </w:tbl>
    <w:p>
      <w:pPr>
        <w:spacing w:line="580" w:lineRule="exact"/>
        <w:jc w:val="left"/>
        <w:rPr>
          <w:rFonts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黑体" w:hAnsi="黑体" w:eastAsia="黑体" w:cs="黑体"/>
          <w:sz w:val="32"/>
          <w:szCs w:val="32"/>
        </w:rPr>
        <w:t>五、存在问题及下一步工作打算</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xml:space="preserve">    （一）</w:t>
      </w:r>
      <w:r>
        <w:rPr>
          <w:rFonts w:hint="eastAsia" w:ascii="仿宋" w:hAnsi="仿宋" w:eastAsia="仿宋" w:cs="仿宋"/>
          <w:b/>
          <w:bCs/>
          <w:sz w:val="32"/>
          <w:szCs w:val="32"/>
        </w:rPr>
        <w:t>存在问题。</w:t>
      </w:r>
      <w:r>
        <w:rPr>
          <w:rFonts w:hint="eastAsia" w:ascii="仿宋" w:hAnsi="仿宋" w:eastAsia="仿宋" w:cs="仿宋"/>
          <w:sz w:val="32"/>
          <w:szCs w:val="32"/>
        </w:rPr>
        <w:t>2020年，通过市政府办的指导与支持，我区政务信息公开工作有了显著提升，同时我们也深刻认识到政务信息公开工作还存在许多问题主要表现在以下几个方面：</w:t>
      </w:r>
      <w:r>
        <w:rPr>
          <w:rFonts w:hint="eastAsia" w:ascii="仿宋" w:hAnsi="仿宋" w:eastAsia="仿宋" w:cs="仿宋"/>
          <w:b/>
          <w:bCs/>
          <w:sz w:val="32"/>
          <w:szCs w:val="32"/>
        </w:rPr>
        <w:t>一是政务公开工作队伍建设还需加强。</w:t>
      </w:r>
      <w:r>
        <w:rPr>
          <w:rFonts w:hint="eastAsia" w:ascii="仿宋" w:hAnsi="仿宋" w:eastAsia="仿宋" w:cs="仿宋"/>
          <w:sz w:val="32"/>
          <w:szCs w:val="32"/>
        </w:rPr>
        <w:t>部分部门没有专职政务信息公开工作人员，而且人员变动频率较高，导致工作时有脱节。</w:t>
      </w:r>
      <w:r>
        <w:rPr>
          <w:rFonts w:hint="eastAsia" w:ascii="仿宋" w:hAnsi="仿宋" w:eastAsia="仿宋" w:cs="仿宋"/>
          <w:b/>
          <w:bCs/>
          <w:sz w:val="32"/>
          <w:szCs w:val="32"/>
        </w:rPr>
        <w:t>二是政务公开工作机制还需完善。</w:t>
      </w:r>
      <w:r>
        <w:rPr>
          <w:rFonts w:hint="eastAsia" w:ascii="仿宋" w:hAnsi="仿宋" w:eastAsia="仿宋" w:cs="仿宋"/>
          <w:sz w:val="32"/>
          <w:szCs w:val="32"/>
        </w:rPr>
        <w:t>部分单位的政务信息公开工作缺乏完</w:t>
      </w:r>
      <w:bookmarkStart w:id="0" w:name="_GoBack"/>
      <w:bookmarkEnd w:id="0"/>
      <w:r>
        <w:rPr>
          <w:rFonts w:hint="eastAsia" w:ascii="仿宋" w:hAnsi="仿宋" w:eastAsia="仿宋" w:cs="仿宋"/>
          <w:sz w:val="32"/>
          <w:szCs w:val="32"/>
        </w:rPr>
        <w:t>善的工作机制，没有把政务信息公开工作作为一项日常性工作，工作很被动。</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（二）下一步工作。强化组织领导，提高认识。</w:t>
      </w:r>
      <w:r>
        <w:rPr>
          <w:rFonts w:hint="eastAsia" w:ascii="仿宋" w:hAnsi="仿宋" w:eastAsia="仿宋" w:cs="仿宋"/>
          <w:sz w:val="32"/>
          <w:szCs w:val="32"/>
        </w:rPr>
        <w:t>切实加强对政务信息公开工作的组织领导，全面提高对政务信息公开工作认识，强化职能机构，形成主要领导亲自抓，分管领导具体抓的工作体系，确保工作常态化。</w:t>
      </w:r>
      <w:r>
        <w:rPr>
          <w:rFonts w:hint="eastAsia" w:ascii="仿宋" w:hAnsi="仿宋" w:eastAsia="仿宋" w:cs="仿宋"/>
          <w:b/>
          <w:bCs/>
          <w:sz w:val="32"/>
          <w:szCs w:val="32"/>
        </w:rPr>
        <w:t>健全机制，规范运行。</w:t>
      </w:r>
      <w:r>
        <w:rPr>
          <w:rFonts w:hint="eastAsia" w:ascii="仿宋" w:hAnsi="仿宋" w:eastAsia="仿宋" w:cs="仿宋"/>
          <w:sz w:val="32"/>
          <w:szCs w:val="32"/>
        </w:rPr>
        <w:t>全面实行一月一更新，一月一审查，一季一通报，一年一考评的长效工作机制。不断完善政务公开信息公开制度，规范政务公开工作流程，做到上网信息必审查，公开必登记，登记必保持。</w:t>
      </w:r>
    </w:p>
    <w:p>
      <w:pPr>
        <w:pStyle w:val="2"/>
        <w:spacing w:line="580" w:lineRule="exact"/>
        <w:jc w:val="left"/>
        <w:rPr>
          <w:rFonts w:ascii="仿宋" w:hAnsi="仿宋" w:eastAsia="仿宋" w:cs="仿宋"/>
          <w:sz w:val="32"/>
          <w:szCs w:val="32"/>
        </w:rPr>
      </w:pPr>
      <w:r>
        <w:rPr>
          <w:rFonts w:hint="eastAsia" w:ascii="黑体" w:hAnsi="黑体" w:eastAsia="黑体" w:cs="黑体"/>
          <w:sz w:val="32"/>
          <w:szCs w:val="32"/>
        </w:rPr>
        <w:t>六、其他报告事项</w:t>
      </w:r>
    </w:p>
    <w:p>
      <w:pPr>
        <w:pStyle w:val="2"/>
        <w:spacing w:line="580" w:lineRule="exact"/>
        <w:jc w:val="left"/>
        <w:rPr>
          <w:rFonts w:ascii="仿宋" w:hAnsi="仿宋" w:eastAsia="仿宋" w:cs="仿宋"/>
          <w:sz w:val="32"/>
          <w:szCs w:val="32"/>
        </w:rPr>
      </w:pPr>
      <w:r>
        <w:rPr>
          <w:rFonts w:hint="eastAsia" w:ascii="仿宋" w:hAnsi="仿宋" w:eastAsia="仿宋" w:cs="仿宋"/>
          <w:sz w:val="32"/>
          <w:szCs w:val="32"/>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04BFF"/>
    <w:rsid w:val="000667BC"/>
    <w:rsid w:val="000814BD"/>
    <w:rsid w:val="001D5978"/>
    <w:rsid w:val="00291426"/>
    <w:rsid w:val="003C5584"/>
    <w:rsid w:val="003D2024"/>
    <w:rsid w:val="005E016C"/>
    <w:rsid w:val="00710353"/>
    <w:rsid w:val="007C7FB6"/>
    <w:rsid w:val="009430D3"/>
    <w:rsid w:val="00A04BFF"/>
    <w:rsid w:val="00A7665A"/>
    <w:rsid w:val="00AE1A55"/>
    <w:rsid w:val="00B932A9"/>
    <w:rsid w:val="00CC7770"/>
    <w:rsid w:val="00E55445"/>
    <w:rsid w:val="00E60649"/>
    <w:rsid w:val="030F2904"/>
    <w:rsid w:val="152D0997"/>
    <w:rsid w:val="1776563A"/>
    <w:rsid w:val="19F41E62"/>
    <w:rsid w:val="1A6251BF"/>
    <w:rsid w:val="22BE591E"/>
    <w:rsid w:val="2559567B"/>
    <w:rsid w:val="299437D8"/>
    <w:rsid w:val="29D17EBA"/>
    <w:rsid w:val="2DB614BA"/>
    <w:rsid w:val="3BAD0B34"/>
    <w:rsid w:val="3CF65A95"/>
    <w:rsid w:val="4E947ABB"/>
    <w:rsid w:val="54AD5FB0"/>
    <w:rsid w:val="69972701"/>
    <w:rsid w:val="6ED6423E"/>
    <w:rsid w:val="73042EA1"/>
    <w:rsid w:val="7A22414B"/>
    <w:rsid w:val="7B1707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style>
  <w:style w:type="paragraph" w:styleId="3">
    <w:name w:val="index 7"/>
    <w:basedOn w:val="1"/>
    <w:next w:val="1"/>
    <w:unhideWhenUsed/>
    <w:qFormat/>
    <w:uiPriority w:val="99"/>
    <w:pPr>
      <w:ind w:left="25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Calibri" w:hAnsi="Calibri" w:eastAsia="宋体" w:cs="Times New Roman"/>
      <w:kern w:val="2"/>
      <w:sz w:val="18"/>
      <w:szCs w:val="18"/>
    </w:rPr>
  </w:style>
  <w:style w:type="character" w:customStyle="1" w:styleId="9">
    <w:name w:val="页脚 Char"/>
    <w:basedOn w:val="7"/>
    <w:link w:val="4"/>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411</Words>
  <Characters>2347</Characters>
  <Lines>19</Lines>
  <Paragraphs>5</Paragraphs>
  <TotalTime>4</TotalTime>
  <ScaleCrop>false</ScaleCrop>
  <LinksUpToDate>false</LinksUpToDate>
  <CharactersWithSpaces>2753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你</cp:lastModifiedBy>
  <dcterms:modified xsi:type="dcterms:W3CDTF">2021-06-28T03:00:04Z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567C5D09B5A84134A08E88A601745059</vt:lpwstr>
  </property>
</Properties>
</file>