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084" w:firstLineChars="300"/>
        <w:rPr>
          <w:rFonts w:ascii="黑体" w:hAnsi="黑体" w:eastAsia="黑体"/>
          <w:color w:val="auto"/>
          <w:sz w:val="30"/>
          <w:szCs w:val="30"/>
          <w:lang w:eastAsia="zh-CN"/>
        </w:rPr>
      </w:pPr>
      <w:bookmarkStart w:id="52" w:name="_GoBack"/>
      <w:bookmarkEnd w:id="52"/>
      <w:r>
        <w:rPr>
          <w:rFonts w:hint="eastAsia" w:ascii="仿宋_GB2312" w:hAnsi="仿宋_GB2312" w:eastAsia="仿宋_GB2312" w:cs="仿宋_GB2312"/>
          <w:b/>
          <w:bCs/>
          <w:sz w:val="36"/>
          <w:szCs w:val="36"/>
          <w:lang w:val="en-US" w:eastAsia="zh-CN"/>
        </w:rPr>
        <w:t>2021年减税降费惠企纾困政策清单</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b w:val="0"/>
          <w:bCs/>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一、保市场主体类</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1.阶段性减免增值税小规模纳税人增值税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增值税小规模纳税人</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自2020年3月1日起，增值税小规模纳税人适用 3% 征收率的应税销售收入，减按 1%征收率征收增值税，按以下公式计算销售额：销售额=含税销售额/（1+1%）；适用 3%预征率的预缴增值税项目，减按 1%预征率预缴增值税。</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增值税小规模纳税人在办理增值税纳税申报时，按照上述规定，免征增值税的销售额等项目应当填写在《增值税纳税申报表（小规模纳税人适用）》及《增值税减免税申报明细表》免税项目相应栏次；减按 1%征收率征收增值税的销售额应当填写在《增值税纳税申报表（小规模纳税人适用）》“应征增值税不含税销售额（3%征收率）”相应栏次，对应减征的增值税应纳税额按销售额的 2%计算填写在《增值税纳税申报表（小规模纳税人适用）》“本期应纳税额减征额”及《增值税减免税申报明细表》减税项目相应栏次。</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《增值税纳税申报表（小规模纳税人适用）附列资料》第8栏“不含税销售额”计算公式调整为：第8栏=第7栏 -（1+征收率）。</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（1）《财政部税务总局关于支持个体工商户复工复业增值税政策的公告》（2020年第13号）</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（2）《国家税务总局关于支持个体工商户复工复业等税收征收管理事项的公告》（2020年第5号）</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（3）《财政部税务总局关于延长小规模纳税人减免增值税政策执行期限的公告》（2020年第24号）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2.延续实施支持小微企业、个体工商户和农户普惠金融有关税收优惠政策</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向小微企业、个体工商户和农户提供普惠金融服务的纳税人</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税务总局关于延续支持农村金融发展有关税收政策的通知》（财税〔2017〕44号）、《财政部税务总局关于小额贷款公司有关税收政策的通知》（财税〔2017〕48号）、《财政部税务总局关于支持小微企业融资有关税收政策的通知》（财税〔2017〕77号）、《财政部税务总局关于租入固定资产进项税额抵扣等增值税政策的通知》（财税〔2017〕90 号）中规定于2019年12月31日执行到期的税收优惠政策，实施期限延长至2023年12月31日。上述政策包括：</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对金融机构向农户、小型企业、微型企业及个体工商户发放小额贷款取得的利息收入，免征增值税。小额贷款，是指单户授信小于100万元（含本数）的农户、小型企业、微型企业或个体工商户贷款；没有授信额度的，是指单户贷款合同金额且贷款余额在100万元（含本数）以下的贷款。</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此外，根据《财政部税务总局关于金融机构小微企业贷款利息收入免征增值税政策的通知》（财税〔2018〕91号）规定，自2018年9月1日至2020年 12月31日，对于符合条件的金融机构向小型企业、微型企业和个体工商户发放单户授信小于1000万元（含本数）的贷款（没有授信额度的，是指单户贷款合同金额且贷款余额在1000万元（含本数）以下的贷款）取得的利息收入，可以按规定免征增值税。</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（2）对金融机构农户小额贷款的利息收入，在计算应纳税所得额时，按 90%计入收入总额。小额贷款，是指单笔且该农户贷款余额总额在10万元（含本数）以下的贷款。</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（3）对经省级金融管理部门（金融办、局等）批准成立的小额贷款公司取得的农户小额贷款利息收入，免征增值税。小额贷款，是指单笔且该农户贷款余额总额在10万元（含本数）以下的贷款。</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对经省级金融管理部门（金融办、局等）批准成立的小额贷款公司取得的农户小额贷款利息收入，在计算应纳税所得额时，按90%计入收入总额。小额贷款，是指单笔且该农户贷款余额总额在10万元（含本数）以下的贷款。</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（5）对经省级金融管理部门（金融办、局等）批准成立的小额贷款公司按年末贷款余额的1%计提的贷款损失准备金准予在企业所得税税前扣除。</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（6）对保险公司为种植业、养殖业提供保险业务取得的保费收入，在计算应纳税所得额时，按90%计入收入总额。保费收入，是指原保险保费收入加上分保费收入减去分出保费后的余额。</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（7）纳税人为农户、小型企业、微型企业及个体工商户借款、发行债券提供融资担保取得的担保费收入，以及为上述融资担保提供再担保取得的再担保费收入，免征增值税。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（1）《财政部税务总局关于延续支持农村金融发展有关税收政策的通知》（财税〔2017〕44号）</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（2）《财政部税务总局关于小额贷款公司有关税收政策的通知》（财税〔2017〕48号）</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（3）《财政部税务总局关于支持小微企业融资有关税收政策的通知》（财税〔2017〕77号）</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（4）《财政部税务总局关于租入固定资产进项税额抵扣等增值税政策的通知》（财税〔2017〕90号）</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（5）《财政部税务总局关于金融机构小微企业贷款利息收入免征增值税政策的通知》（财税〔2018〕91号）</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（6）《财政部税务总局关于延续实施普惠金融有关税收优惠政策的公告》（2020年第 22号）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3.物流企业大宗商品仓储设施用地减半征收城镇土地使用税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物流企业大宗商品仓储设施用地的城镇土地使用税纳税人</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自2020年1月1日至2022年12月31日，对物流企业自有（包括自用和出租）或承租的大宗商品仓储设施用地，减按所属土地等级适用税额标准的 50%计征城镇土地使用税。</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上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上述大宗商品仓储设施，是指同一仓储设施占地面积在6000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上述仓储设施用地，包括仓库库区内的各类仓房（含配送中心）、油罐（池）、货场、晒场（堆场）、罩棚等储存设施和铁路专用线、码头、道路、装卸搬运区域等物流作业配套设施的用地。</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物流企业的办公、生活区用地及其他非直接用于大宗商品仓储的土地，不属于本项优惠政策规定的减税范围，应按规定征收城镇土地使用税。</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纳税人享受本项减税政策，应按规定进行减免税申报，并将不动产权属证明、土地用途证明、租赁协议等资料留存备查。</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《财政部税务总局关于继续实施物流企业大宗商品仓储设施用地城镇土地使用税优惠政策的公告》（2020 年第16号）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4.延长广告费和业务宣传费支出税前扣除政策</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化妆品制造或销售、医药制造和饮料制造（不含酒类制造）企业</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2021年1月1日起至2025年12月31日，对化妆品制造或销售、医药制造和饮料制造（不含酒类制造）企业发生的广告费和业务宣传费支出，不超过当年销售（营业）收入30%的部分，准予扣除；超过部分，准予在以后纳税年度结转扣除。</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 税务总局关于广告费和业务宣传费支出税前扣除有关事项的公告》（财政部 税务总局公告2020年第43号）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5.延长高新技术企业和科技型中小企业亏损结转年限</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高新技术企业和科技型中小企业</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333333"/>
          <w:spacing w:val="8"/>
          <w:sz w:val="30"/>
          <w:szCs w:val="30"/>
          <w:shd w:val="clear" w:color="auto" w:fill="FFFFFF"/>
          <w:lang w:eastAsia="zh-CN"/>
        </w:rPr>
        <w:t>自2018年1月1日起，当年具备高新技术企业或科技型中小企业资格（以下统称资格）的企业，其具备资格年度之前5个年度发生的尚未弥补完的亏损，准予结转以后年度弥补，最长结转年限由5年延长至10年</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《财政部、税务总局关于延长高新技术企业和科技型中小企业亏损结转年限的通知》（财税〔2018〕76号）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6.扩大固定资产加速折旧优惠的行业范围至全部制造业领域</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制造业领域</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自2019年1月1日起，适用（财税〔2014〕75号）和（财税〔2015〕106号）规定固定资产加速折旧优惠的行业范围，扩大至全部制造业领域。</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《财政部税务总局关于扩大固定资产加速折旧优惠政策适用范围的公告》(2019年第66号)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7.降低职工养老保险单位缴费比例</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缴纳职工养老保险的单位</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自2019年5月1日起职工养老保险单位缴费率降至16%；继续实施失业保险费率1%的政策；调整缴费基数使用的平均工资口径，由城镇非私营单位就业人员平均工资调整为非私营和私营单位就业人员加权平均工资。</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（1）《关于印发降低社会保障费综合方案的通知》（国办发〔2019〕13号）</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0"/>
          <w:szCs w:val="30"/>
          <w:lang w:eastAsia="zh-CN"/>
        </w:rPr>
        <w:t>（2）《河北省人民政府办公厅关于印发&lt;河北省降低社会保险费率实施方案&gt;的通知》</w:t>
      </w:r>
      <w:r>
        <w:rPr>
          <w:rFonts w:hint="eastAsia" w:ascii="仿宋" w:hAnsi="仿宋" w:eastAsia="仿宋" w:cs="仿宋"/>
          <w:color w:val="auto"/>
          <w:sz w:val="32"/>
          <w:szCs w:val="32"/>
          <w:lang w:eastAsia="zh-CN"/>
        </w:rPr>
        <w:t>（冀政办字〔2019〕38号）</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二、稳外贸扩内需类</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8.提高部分产品出口退税率</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出口企业</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自2020年3月20日起，将瓷制卫生器具等1084项产品出口退税率提高至 13%；将植物生长调节剂等 380 项产品出口退税率提高至9%。具体产品清单见《财政部税务总局关于提高部分产品出口退税率的公告》（2020 年第15号）附件《提高出口退税率的产品清单》。</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上述货物适用的出口退税率，以出口货物报关单上注明的出口日期界定。</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《财政部税务总局关于提高部分产品出口退税率的公告》（2020年第 15 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9.二手车经销企业销售旧车减征增值税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从事二手车经销的纳税人</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自2020年5月1日至2023年12月31日，从事二手车经销的纳税人销售其收购的二手车，由原按照简易办法依 3% 征收率减按 2%征收增值税，改为减按 0.5%征收增值税，并按下列公式计算销售额：</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销售额=含税销售额/（1+0.5%）</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二手车，是指从办理完注册登记手续至达到国家强制报废标准之前进行交易并转移所有权的车辆，具体范围按照国务院商务主管部门出台的二手车流通管理办法执行。</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纳税人应当开具二手车销售统一发票。购买方索取增值税专用发票的，应当再开具征收率为0.5%的增值税专用发票。</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般纳税人在办理增值税纳税申报时，减按0.5%征收率征收增值税的销售额，应当填写在《增值税纳税申报表附列资料（一）》（本期销售情况明细）“二、简易计税方法计税”中“3%征收率的货物及加工修理修配劳务”相应栏次；对应减征的增值税应纳税额，按销售额的2.5%计算填写在《增值税纳税申报表（一般纳税人适用）》“应纳税额减征额”及《增值税减免税申报明细表》减税项目相应栏次。</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小规模纳税人在办理增值税纳税申报时，减按0.5%征收率征收增值税的销售额，应当填写在《增值税纳税申报表（小规模纳税人适用）》“应征增值税不含税销售额（3%征收率）”相应栏次；对应减征的增值税应纳税额，按销售额的2.5% 计算填写在《增值税纳税申报表（小规模纳税人适用）》“本期应纳税额减征额”及《增值税减免税申报明细表》减税项目相应栏次。</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（1）《财政部税务总局关于二手车经销有关增值税政策的公告》（2020年第 17 号）</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（2）《国家税务总局关于明确二手车经销等若干增值税征管问题的公告》（2020年第 9号）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10.延续实施新能源汽车免征车辆购置税政策</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购置新能源汽车的单位和个人</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2018年1月1日至2022 年12月31日，对列入《免征车辆购置税的新能源汽车车型目录》（以下简称《目录》）的新能源汽车，免征车辆购置税。《目录》详见工业和信息化部和税务总局公告。2017年12月31日之前已列入《目录》的新能源汽车，对其免征车辆购置税政策继续有效。</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（1）《财政部税务总局工业和信息化部科技部关于免征新能源汽车车辆购置税的公告》（2017 年第172号）</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（2）《财政部税务总局工业和信息化部关于新能源汽车免征车辆购置税有关政策的公告》（2020 年第21号）</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仿宋_GB2312" w:eastAsia="仿宋_GB2312" w:cs="仿宋_GB2312"/>
          <w:b/>
          <w:color w:val="auto"/>
          <w:sz w:val="30"/>
          <w:szCs w:val="30"/>
          <w:lang w:eastAsia="zh-CN"/>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三、鼓励公益捐赠类</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11.公益性捐赠税前结转扣除政策</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通过社会公益性社会组织或政府部门发生公益性捐赠的企业和个人</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自2020年1月1日起，企业或个人通过公益性社会组织、县级以上人民政府及其部门等国家机关，用于符合法律规定的公益慈善事业捐赠支出，准予按税法规定在计算应纳税所得额时扣除。</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 税务总局 民政部关于公益性捐赠税前扣除有关事项的公告》（财政部公告2020年第27号）</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12.对单位或个体工商户捐赠扶贫货物暂免征增值税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符合条件的单位或个体工商户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2022年12月31日，对单位或者个体工商户将自产、委托加工或购买的货物通过公益性社会组织、县级及以上人民政府及其组成部门和直属机构，或直接无偿捐赠给目标脱贫地区的单位和个人，免征增值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《财政部税务总局国务院扶贫办关于扶贫货物捐赠免征增值税政策的公告》（2019年第55号）</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四、普惠性减税类</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13.提高增值税小规模纳税人起征点</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增值税小规模纳税人</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自2019年1月1日至2021年12月31日，提高增值税小规模纳税人起征点，由月销售额3万元提高到10万元；</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 税务总局关于实施小微企业普惠性税收减免政策的通知》（财税〔2019〕13号）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14.扩大小型微利企业所得税优惠范围</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小型微利企业</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2021年12月31日，放宽小型微利企业标准，加大企业所得税优惠力度，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《关于实施小微企业普惠性税收减免政策的通知》（财税〔2019〕13号）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15.减半征收小规模纳税人地方“六税两费”</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增值税小规模纳税人</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2021年12月31日，我省根据中央授权，对我省增值税小规模纳税人按照50%的税额最大幅度减征资源税、城市维护建设税、房产税、城镇土地使用税、印花税、耕地占用税、教育费附加和地方教育费附加（即“六税两费”）。</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《关于增值税小规模纳税人有关税收政策的通知》（冀财税〔2019〕6号）</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五、结构性减税类</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16.降低增值税税率</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增值税一般纳税人</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自2019年4月1日起：</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（1）将制造业等行业现行16%的税率将至13%，将交通运输业、建筑业等行业现行10%的税率将至9%；</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（2）纳税人购进农产品，原适用10%扣除率的，扣除率调整为9%。纳税人购进用于生产或者委托加工13%税率货物的农产品，按照10%的扣除率计算进项税额；</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（3）原适用16%税率且出口退税率为16%的出口货物劳务，出口退税率调整为13%；原适用10%税率且出口退税率为10%的出口货物、跨境应税行为，出口退税率调整为9%。</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 税务总局 海关总署关于深化增值税改革有关政策的公告》（2019年第39号）</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17.将不动产分两年抵扣改为一次性全额抵扣</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增值税一般纳税人</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自2019年4月1日起，纳税人取得不动产或者不动产在建工程的进项税额不再分2年抵扣。此前按照上述规定尚未抵扣完毕的待抵扣进项税额，可自2019年4月税款所属期起从销项税额中抵扣。</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 税务总局 海关总署关于深化增值税改革有关政策的公告》（2019年第39号）</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18.国内旅客运输服务纳入进项税额抵扣范围</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增值税一般纳税人</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自2019年4月1日起，纳税人购进国内旅客运输服务，其进项税额允许从销项税额中抵扣。</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 税务总局 海关总署关于深化增值税改革有关政策的公告》（2019年第39号）</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19.生产、生活性服务业纳税人进项税额加计抵扣</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增值税一般纳税人</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自2019年4月1日起，允许生产、生活性服务业纳税人按照当期可抵扣进项税额加计10%，抵减应纳税额。</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 税务总局 海关总署关于深化增值税改革有关政策的公告》（2019年第39号）</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20.增值税期末留底税额退税</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增值税一般纳税人、符合条件的部分先进制造业纳税人</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（1）自2019年4月1日起，试行增值税期末留抵税额退税制度，符合条件的纳税人，可以向主管税务机关申请退还增量留抵税额：</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①自2019年4月税款所属期起，连续六个月（按季纳税的，连续两个季度）增量留抵税额均大于零，且第六个月增量留抵税额不低于50万元；</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②纳税信用等级为A级或者B级；</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③申请退税前36个月未发生骗取留抵退税、出口退税或虚开增值税专用发票情形的；</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④申请退税前36个月未因偷税被税务机关处罚两次及以上的；</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⑤自2019年4月1日起未享受即征即退、先征后返（退）政策的。</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xml:space="preserve">（2）自2019年6月1日起，同时符合以下条件的部分先进制造业纳税人，可以自2019年7月及以后纳税申报期向主管税务机关申请退还增量留抵税额： </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①增量留抵税额大于零；</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xml:space="preserve">②纳税信用等级为A级或者B级； </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③申请退税前36个月未发生骗取留抵退税、出口退税或虚开增值税专用发票情形；</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xml:space="preserve">④申请退税前36个月未因偷税被税务机关处罚两次及以上； </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⑤自2019年4月1日起未享受即征即退、先征后返(退)政策。</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 海关总署关于深化增值税改革有关政策的公告》（2019年第39号）</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税务总局关于明确部分先进制造业增值税期末留抵退税政策的公告》（2019年第84号）</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六、其他惠企利民类</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21.个人所得税增加专项附加扣除</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个人所得税的纳税人</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自2019年1月1日起，在个税免征额提高至每月5000元的基础上，增加子女教育、继续教育、大病医疗、住房贷款利息、住房租金、赡养老人等6项专项附加扣除。</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新《中华人民共和国个人所得税法》</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22.对符合条件的房产、土地，暂免征收房产税和城镇土地使用税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符合条件的房产、土地</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自2019年1月1日至2021年12月31日，对城市公交站场、道路客运站场、城市轨道交通系统运营用地，免征城镇土地使用税。</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自2019年1月1日至2021年12月31日，对农产品批发市场、农贸市场（包括自有和承租）专门用于经营农产品的房产、土地，暂免征收房产税和城镇土地使用税。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（1）《关于继续对城市公交站场、道路客运站场、城市轨道交通系统减免城镇土地使用税优惠政策的通知》（财税〔2019〕11号）</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（2）《关于继续实行农产品批发市场农贸市场房产税城镇土地使用税优惠政策的通知》（财税〔2019〕12号）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23.对高校学生公寓免征房产税，对与高校学生签订的学生公寓租赁合同免征印花税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高校学生公寓及租赁合同</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自2019年1月1日至2021年12月31日，对高校学生公寓免征房产税，对与高校学生签订的高校学生公寓租赁合同，免征印花税。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《关于高校学生公寓房产税印花税政策的通知》（财税〔2019〕14号）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24.延续文化体制改革中经营性文化事业单位转制为企业的若干税收减免政策</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转制为企业的经营性文化事业单位</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2023年12月31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《关于继续实施文化体制改革中经营性文化事业单位转制为企业若干税收政策的通知》（财税〔2019〕16号）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25.支持文化企业发展政策</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符合条件的文化企业</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2019年1月1日至2023年12月31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（1）《关于继续实施支持文化企业发展增值税政策的通知》(财税〔2019〕17号)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26.对个人或企业投资者三年内转让创新企业CDR免征个人所得税、企业所得税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三年内转让创新企业CDR的个人或企业投资者</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对个人投资者转让创新企业CDR（中国存托凭证）取得的差价收入暂免征收增值税，三年内免征个人所得税；对企业投资者转让创新企业CDR取得的差价所得和持有创新企业CDR取得的股息红利所得，按转让股票差价所得和持有股票的股息红利所得政策规定征免企业所得税，按金融商品转让政策规定征免增值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《财政部税务总局证监会关于创新企业境内发行存托凭证试点阶段有关税收政策的公告》(2019年第52号)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27.对符合条件的从事污染防治的第三方企业减按15%的税率征收企业所得税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从事污染防治的第三方企业</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2019年1月1日起至2021年12月31日，对符合条件的从事污染防治的第三方企业减按15%的税率征收企业所得税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《财政部税务总局国家发展改革委生态环境部关于从事污染防治的第三方企业所得税政策的公告》(2019年第60号)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28.企业发行的永续债，可以适用股息、红利政策免征企业所得税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永续债发行方企业</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自2019年1月1日起，企业发行的永续债可以适用股息、红利政策免征企业所得税。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《财政部税务总局关于永续债企业所得税政策问题的公告》(2019年第64号)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29.对养老、托育、家政等社区家庭服务业免征、减征增值税、所得税、契税等</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提供养老、托育、家政等社区家庭服务业</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6月1日至2025年12月31日，提供社区养老、托育、家政服务取得的收入，免征增值税；提供社区养老、托育、家政服务取得的收入，在计算应纳税所得额时，减按90%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《财政部税务总局发展改革委民政部商务部 卫生健康委关于养老、托育、家政等社区家庭服务业税费优惠政策的公告》（2019年第76号）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30.对国家商品储备管理公司免征印花税、城镇土地使用税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国家商品储备管理公司</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2019年1月1日至2021年12月31日，对商品储备管理公司及其直属库资金账簿免征印花税；对其承担商品储备业务过程中书立的购销合同免征印花税，对商品储备管理公司及其直属库自用的承担商品储备业务的房产、土地，免征房产税、城镇土地使用税。</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《财政部税务总局关于部分国家储备商品有关税收政策的公告》（2019年第77号）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31.减免不动产登记费，调整专利收费</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部分行政事业性收费</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333333"/>
          <w:spacing w:val="8"/>
          <w:sz w:val="30"/>
          <w:szCs w:val="30"/>
          <w:shd w:val="clear" w:color="auto" w:fill="FFFFFF"/>
          <w:lang w:eastAsia="zh-CN"/>
        </w:rPr>
        <w:t>自2019年7月1日起，</w:t>
      </w:r>
      <w:r>
        <w:rPr>
          <w:rFonts w:hint="eastAsia" w:ascii="仿宋" w:hAnsi="仿宋" w:eastAsia="仿宋" w:cs="仿宋"/>
          <w:color w:val="auto"/>
          <w:sz w:val="30"/>
          <w:szCs w:val="30"/>
          <w:lang w:eastAsia="zh-CN"/>
        </w:rPr>
        <w:t>减免不动产登记费，调整专利收费。</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《关于减免部分行政事业性收费有关政策的通知》（财税〔2019〕45号）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32.调整部分政府性基金</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部分政府性基金</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7月1日至2024年12月31日，对归属中央收入的文化事业建设费，按照缴纳义务人应缴费额的50%减征。2019年7月1日起，将国家重大水利工程建设基金征收标准降低50%。自2019年1月1日起，纳入产教融合型企业建设培育范围的试点企业，兴办职业教育的投资符合本通知规定的，可按投资额的30%比例，抵免该企业当年应缴教育费附加和地方教育附加。自2019年7月1日起，将《财政部关于印发〈民航发展基金征收使用管理暂行办法〉的通知》（财综〔2012〕17号）第八条规定的航空公司应缴纳民航发展基金的征收标准降低50%。</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《关于调整部分政府性基金有关政策的通知》（财税〔2019〕46号）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33.降低无线电频率占用费、出入境证照类收费、商标注册收费等部分行政事业性收费标准</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部分行政事业性收费</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自2019年7月1日起，降低无线电频率占用费、出入境证照类收费、商标注册收费等部分行政事业性收费标准。</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《关于降低部分行政事业性收费标准的通知》（发改价格〔2019〕914号）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34.残疾人就业保证金实行分档减缴政策</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符合条件的用人单位</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起至2022年12月31日，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在职职工人数在30人（含）以下的企业，暂免征收残疾人就业保障金。</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《财政部关于调整残疾人就业保障金征收政策的公告》（2019第98号）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35.扶持自主就业退役士兵创业就业，扣减增值税、城镇维护建设税、教育附加税、地方教育附加税、所得税等</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进行创业就业的自主就业退役士兵</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2021年12月31日，自主就业退役士兵从事个体经营的，在3年内按每户每年14400元为限额依次扣减其当年实际应缴纳的增值税、城市维护建设税、教育费附加、地方教育附加和个人所得税。企业招用自主就业退役士兵，与其签订1年以上期限劳动合同并依法缴纳社会保险费的，在3年内按实际招用人数予以定额依次扣减增值税、城市维护建设税、教育费附加、地方教育附加和企业所得税优惠。定额标准为每人每年9000元。</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《关于进一步扶持自主就业退役士兵创业就业有关税收政策的通知》（冀财税〔2019〕23号）</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36.对建档立卡贫困人口创业就业实施税收优惠，扣减增值税、城镇维护建设税、教育附加税、地方教育附加税、所得税等</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i w:val="0"/>
          <w:iCs w:val="0"/>
          <w:color w:val="auto"/>
          <w:sz w:val="30"/>
          <w:szCs w:val="30"/>
          <w:lang w:eastAsia="zh-CN"/>
        </w:rPr>
      </w:pPr>
      <w:r>
        <w:rPr>
          <w:rFonts w:hint="eastAsia" w:ascii="仿宋" w:hAnsi="仿宋" w:eastAsia="仿宋" w:cs="仿宋"/>
          <w:b/>
          <w:bCs/>
          <w:i w:val="0"/>
          <w:iCs w:val="0"/>
          <w:color w:val="auto"/>
          <w:sz w:val="30"/>
          <w:szCs w:val="30"/>
          <w:lang w:eastAsia="zh-CN"/>
        </w:rPr>
        <w:t>【享受主体】</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建档立卡的贫困人口</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2021年12月31日，建档立卡贫困人口、持《就业创业证》（注明“自主创业税收政策”或“毕业年度内自主创业税收政策”）或《就业失业登记证》（注明“自主创业税收政策”）的人员，从事个体经营的，自办理个体工商户登记当月起，在3年内按每户每年14400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企业吸纳税收政策”）的人员，与其签订1年以上期限劳动合同并依法缴纳社会保险费的，在3年内按实际招用人数予以定额依次扣减增值税、城市维护建设税、教育费附加、地方教育附加和企业所得税优惠。定额标准为每人每年7800元。</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《关于转发&lt;财政部税务总局人力资源和社会保障部国务院扶贫办关于进一步支持和促进重点群体创业就业有关税收政策的通知&gt;的通知》（冀财税〔2019〕22号）</w:t>
      </w:r>
      <w:bookmarkStart w:id="0" w:name="_Toc67905235"/>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第二部分  2021年以来延续实施部分税费优惠政策</w:t>
      </w:r>
    </w:p>
    <w:p>
      <w:pPr>
        <w:pageBreakBefore w:val="0"/>
        <w:kinsoku/>
        <w:wordWrap/>
        <w:overflowPunct/>
        <w:topLinePunct w:val="0"/>
        <w:autoSpaceDE/>
        <w:autoSpaceDN/>
        <w:bidi w:val="0"/>
        <w:adjustRightInd w:val="0"/>
        <w:snapToGrid w:val="0"/>
        <w:spacing w:line="560" w:lineRule="exact"/>
        <w:ind w:left="0" w:firstLine="640" w:firstLineChars="200"/>
        <w:jc w:val="both"/>
        <w:outlineLvl w:val="9"/>
        <w:rPr>
          <w:rFonts w:hint="eastAsia" w:ascii="黑体" w:hAnsi="黑体" w:eastAsia="黑体" w:cs="黑体"/>
          <w:b w:val="0"/>
          <w:bCs w:val="0"/>
          <w:sz w:val="32"/>
          <w:szCs w:val="32"/>
          <w:lang w:eastAsia="zh-CN"/>
        </w:rPr>
      </w:pPr>
    </w:p>
    <w:p>
      <w:pPr>
        <w:pageBreakBefore w:val="0"/>
        <w:kinsoku/>
        <w:wordWrap/>
        <w:overflowPunct/>
        <w:topLinePunct w:val="0"/>
        <w:autoSpaceDE/>
        <w:autoSpaceDN/>
        <w:bidi w:val="0"/>
        <w:adjustRightInd w:val="0"/>
        <w:snapToGrid w:val="0"/>
        <w:spacing w:line="560" w:lineRule="exact"/>
        <w:jc w:val="both"/>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一、延长期限类</w:t>
      </w:r>
      <w:bookmarkEnd w:id="0"/>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 w:name="_Toc67905236"/>
      <w:r>
        <w:rPr>
          <w:rFonts w:hint="eastAsia" w:ascii="仿宋" w:hAnsi="仿宋" w:eastAsia="仿宋" w:cs="仿宋"/>
          <w:b/>
          <w:bCs/>
          <w:sz w:val="30"/>
          <w:szCs w:val="30"/>
          <w:lang w:eastAsia="zh-CN"/>
        </w:rPr>
        <w:t>1.设备、器具扣除有关企业所得税政策</w:t>
      </w:r>
      <w:bookmarkEnd w:id="1"/>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_GB2312" w:hAnsi="仿宋_GB2312" w:eastAsia="仿宋_GB2312" w:cs="仿宋_GB2312"/>
          <w:color w:val="auto"/>
          <w:sz w:val="30"/>
          <w:szCs w:val="30"/>
          <w:lang w:eastAsia="zh-CN"/>
        </w:rPr>
      </w:pPr>
      <w:r>
        <w:rPr>
          <w:rFonts w:hint="eastAsia" w:ascii="仿宋" w:hAnsi="仿宋" w:eastAsia="仿宋" w:cs="仿宋"/>
          <w:color w:val="auto"/>
          <w:sz w:val="30"/>
          <w:szCs w:val="30"/>
          <w:lang w:eastAsia="zh-CN"/>
        </w:rPr>
        <w:t>新购进设备、器具的企业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企业在 2018 年 1 月 1 日至 2023 年 12 月 31 日期间新购进的设备、器具，单位价值不超过 500 万元的，允许一次性计入当期成本费用在计算应纳税所得额时扣除，不再分年度计算折旧。</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税务总局关于设备 器具扣除有关企业所得税政策的通知》（财税〔2018〕54 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 w:name="_Toc67905237"/>
      <w:r>
        <w:rPr>
          <w:rFonts w:hint="eastAsia" w:ascii="仿宋" w:hAnsi="仿宋" w:eastAsia="仿宋" w:cs="仿宋"/>
          <w:b/>
          <w:bCs/>
          <w:sz w:val="30"/>
          <w:szCs w:val="30"/>
          <w:lang w:eastAsia="zh-CN"/>
        </w:rPr>
        <w:t>2.研发费用企业所得税前加计扣除政策</w:t>
      </w:r>
      <w:bookmarkEnd w:id="2"/>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开展研发活动中实际发生研发费用的企业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企业开展研发活动中实际发生的研发费用，未形成无形资产计入当期损益的，在按规定据实扣除的基础上，在2018年1月1日至2023年12月31日期间，再按照实际发生额的75%在税前加计扣除；形成无形资产的，在上述期间按照无形资产成本的175%在税前摊销。</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 科技部关于提高研究开发费用税前加计扣除比例的通知》（财税〔2018〕99 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 w:name="_Toc67905238"/>
      <w:r>
        <w:rPr>
          <w:rFonts w:hint="eastAsia" w:ascii="仿宋" w:hAnsi="仿宋" w:eastAsia="仿宋" w:cs="仿宋"/>
          <w:b/>
          <w:bCs/>
          <w:sz w:val="30"/>
          <w:szCs w:val="30"/>
          <w:lang w:eastAsia="zh-CN"/>
        </w:rPr>
        <w:t>3.金融机构从小微企业等取得的利息收入免征增值税</w:t>
      </w:r>
      <w:bookmarkEnd w:id="3"/>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金融机构</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自2018年9月1日至2023年12月31日，对金融机构向小型企业、微型企业和个体工商户发放小额贷款取得的利息收入，免征增值税。本通知所称小额贷款，是指单户授信小于 1000 万元（含本数）的小型企业、微型企业或个体工商户贷款；没有授信额度的，是指单户贷款合同金额且贷款余额在 1000 万元（含本数）以下的贷款。</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税务总局关于金融机构小微企业贷款利息收入免征增值税政策的通知》（财税〔2018〕91 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bookmarkStart w:id="4" w:name="_Toc67905239"/>
      <w:r>
        <w:rPr>
          <w:rFonts w:hint="eastAsia" w:ascii="仿宋" w:hAnsi="仿宋" w:eastAsia="仿宋" w:cs="仿宋"/>
          <w:b/>
          <w:bCs/>
          <w:sz w:val="30"/>
          <w:szCs w:val="30"/>
          <w:lang w:eastAsia="zh-CN"/>
        </w:rPr>
        <w:t>4.动漫企业增值税即征即退</w:t>
      </w:r>
      <w:bookmarkEnd w:id="4"/>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动漫企业。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32" w:firstLineChars="200"/>
        <w:jc w:val="both"/>
        <w:outlineLvl w:val="9"/>
        <w:rPr>
          <w:rFonts w:hint="eastAsia" w:ascii="仿宋" w:hAnsi="仿宋" w:eastAsia="仿宋" w:cs="仿宋"/>
          <w:color w:val="333333"/>
          <w:spacing w:val="8"/>
          <w:sz w:val="30"/>
          <w:szCs w:val="30"/>
          <w:shd w:val="clear" w:color="auto" w:fill="FFFFFF"/>
          <w:lang w:eastAsia="zh-CN"/>
        </w:rPr>
      </w:pPr>
      <w:r>
        <w:rPr>
          <w:rFonts w:hint="eastAsia" w:ascii="仿宋" w:hAnsi="仿宋" w:eastAsia="仿宋" w:cs="仿宋"/>
          <w:color w:val="333333"/>
          <w:spacing w:val="8"/>
          <w:sz w:val="30"/>
          <w:szCs w:val="30"/>
          <w:shd w:val="clear" w:color="auto" w:fill="FFFFFF"/>
          <w:lang w:eastAsia="zh-CN"/>
        </w:rPr>
        <w:t>自2018年5月1日至2023年12月31日,对动漫企业增值税一般纳税人销售其自主开发生产的动漫软件，按照16%的税率征收增值税后，对其增值税实际税负超过3%的部分，实行即征即退政策。</w:t>
      </w:r>
    </w:p>
    <w:p>
      <w:pPr>
        <w:pageBreakBefore w:val="0"/>
        <w:kinsoku/>
        <w:wordWrap/>
        <w:overflowPunct/>
        <w:topLinePunct w:val="0"/>
        <w:autoSpaceDE/>
        <w:autoSpaceDN/>
        <w:bidi w:val="0"/>
        <w:adjustRightInd w:val="0"/>
        <w:snapToGrid w:val="0"/>
        <w:spacing w:line="560" w:lineRule="exact"/>
        <w:ind w:left="0" w:firstLine="632" w:firstLineChars="200"/>
        <w:jc w:val="both"/>
        <w:outlineLvl w:val="9"/>
        <w:rPr>
          <w:rFonts w:hint="eastAsia" w:ascii="仿宋" w:hAnsi="仿宋" w:eastAsia="仿宋" w:cs="仿宋"/>
          <w:color w:val="333333"/>
          <w:spacing w:val="8"/>
          <w:sz w:val="30"/>
          <w:szCs w:val="30"/>
          <w:shd w:val="clear" w:color="auto" w:fill="FFFFFF"/>
          <w:lang w:eastAsia="zh-CN"/>
        </w:rPr>
      </w:pPr>
      <w:r>
        <w:rPr>
          <w:rFonts w:hint="eastAsia" w:ascii="仿宋" w:hAnsi="仿宋" w:eastAsia="仿宋" w:cs="仿宋"/>
          <w:color w:val="333333"/>
          <w:spacing w:val="8"/>
          <w:sz w:val="30"/>
          <w:szCs w:val="30"/>
          <w:shd w:val="clear" w:color="auto" w:fill="FFFFFF"/>
          <w:lang w:eastAsia="zh-CN"/>
        </w:rPr>
        <w:t>上述16%的税率自2019年5月1日起调整为13%。</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（1）《财政部税务总局关于延续动漫产业增值税政策的通知》（财税〔2018〕38 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国家税务总局关于全面推开营业税改征增值税试点的通知》（财税〔2016〕36 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5" w:name="_Toc67905240"/>
      <w:r>
        <w:rPr>
          <w:rFonts w:hint="eastAsia" w:ascii="仿宋" w:hAnsi="仿宋" w:eastAsia="仿宋" w:cs="仿宋"/>
          <w:b/>
          <w:bCs/>
          <w:sz w:val="30"/>
          <w:szCs w:val="30"/>
          <w:lang w:eastAsia="zh-CN"/>
        </w:rPr>
        <w:t>5.保险保障基金公司免征企业所得税、印花税</w:t>
      </w:r>
      <w:bookmarkEnd w:id="5"/>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中国保险保障基金有限责任公司</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32" w:firstLineChars="200"/>
        <w:jc w:val="both"/>
        <w:outlineLvl w:val="9"/>
        <w:rPr>
          <w:rFonts w:hint="eastAsia" w:ascii="仿宋" w:hAnsi="仿宋" w:eastAsia="仿宋" w:cs="仿宋"/>
          <w:color w:val="333333"/>
          <w:spacing w:val="8"/>
          <w:sz w:val="30"/>
          <w:szCs w:val="30"/>
          <w:shd w:val="clear" w:color="auto" w:fill="FFFFFF"/>
          <w:lang w:eastAsia="zh-CN"/>
        </w:rPr>
      </w:pPr>
      <w:r>
        <w:rPr>
          <w:rFonts w:hint="eastAsia" w:ascii="仿宋" w:hAnsi="仿宋" w:eastAsia="仿宋" w:cs="仿宋"/>
          <w:color w:val="333333"/>
          <w:spacing w:val="8"/>
          <w:sz w:val="30"/>
          <w:szCs w:val="30"/>
          <w:shd w:val="clear" w:color="auto" w:fill="FFFFFF"/>
          <w:lang w:eastAsia="zh-CN"/>
        </w:rPr>
        <w:t>自2018年5月1日至2023年12月31日：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一、对中国保险保障基金有限责任公司（以下简称保险保障基金公司）根据《保险保障基金管理办法》取得的下列收入，免征企业所得税：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1.境内保险公司依法缴纳的保险保障基金；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2.依法从撤销或破产保险公司清算财产中获得的受偿收入和向有关责任方追偿所得，以及依法从保险公司风险处置中获得的财产转让所得；</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3.接受捐赠收入；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4.银行存款利息收入；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5.购买政府债券、中央银行、中央企业和中央级金融机构发行债券的利息收入；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6.国务院批准的其他资金运用取得的收入。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二、对保险保障基金公司下列应税凭证，免征印花税：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1.新设立的资金账簿；</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2.在对保险公司进行风险处置和破产救助过程中签订的产权转移书据；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3.在对保险公司进行风险处置过程中与中国人民银行签订的再贷款合同；</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4.以保险保障基金自有财产和接收的受偿资产与保险公司签订的财产保险合同。</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税务总局关于保险保障基金有关税收政策问题的通知》（财税〔2018〕41 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6" w:name="_Toc67905241"/>
      <w:r>
        <w:rPr>
          <w:rFonts w:hint="eastAsia" w:ascii="仿宋" w:hAnsi="仿宋" w:eastAsia="仿宋" w:cs="仿宋"/>
          <w:b/>
          <w:bCs/>
          <w:sz w:val="30"/>
          <w:szCs w:val="30"/>
          <w:lang w:eastAsia="zh-CN"/>
        </w:rPr>
        <w:t>6.中国邮政储蓄银行涉农贷款收入可以选择适用简易计税方法</w:t>
      </w:r>
      <w:bookmarkEnd w:id="6"/>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中国邮政储蓄银行纳入“三农金融事业部”改革的各省、自治区、直辖市、计划单列市分行下辖的县域支行</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2018年7月1日至2023年12月31日,对中国邮政储蓄银行纳入“三农金融事业部”改革的各省、自治区、直辖市、计划单列市分行下辖的县域支行，提供农户贷款、农村企业和农村各类组织贷款（具体贷款业务清单见附件）取得的利息收入，可以选择适用简易计税方法按照3%的征收率计算缴纳增值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税务总局关于中国邮政储蓄银行三农金融事业部涉农贷款增值税政策的通知》（财税〔2018〕97 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7" w:name="_Toc67905242"/>
      <w:r>
        <w:rPr>
          <w:rFonts w:hint="eastAsia" w:ascii="仿宋" w:hAnsi="仿宋" w:eastAsia="仿宋" w:cs="仿宋"/>
          <w:b/>
          <w:bCs/>
          <w:sz w:val="30"/>
          <w:szCs w:val="30"/>
          <w:lang w:eastAsia="zh-CN"/>
        </w:rPr>
        <w:t>7.公共租赁住房税收优惠政策</w:t>
      </w:r>
      <w:bookmarkEnd w:id="7"/>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公共租赁住房建设和运营纳税人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2019年1月1日至2023年12月31日：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一、对公租房建设期间用地及公租房建成后占地，免征城镇土地使用税。在其他住房项目中配套建设公租房，按公租房建筑面积占总建筑面积的比例免征建设、管理公租房涉及的城镇土地使用税。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二、对公租房经营管理单位免征建设、管理公租房涉及的印花税。在其他住房项目中配套建设公租房，按公租房建筑面积占总建筑面积的比例免征建设、管理公租房涉及的印花税。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三、对公租房经营管理单位购买住房作为公租房，免征契税、印花税；对公租房租赁双方免征签订租赁协议涉及的印花税。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四、对企事业单位、社会团体以及其他组织转让旧房作为公租房房源，且增值额未超过扣除项目金额 20% 的，免征土地增值税。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五、企事业单位、社会团体以及其他组织捐赠住房作为公租房，符合税收法律法规规定的，对其公益性捐赠支出在年度利润总额 12% 以内的部分，准予在计算应纳税所得额时扣除，超过年度利润总额 12%的部分，准予结转以后三年内在计算应纳税所得额时扣除。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个人捐赠住房作为公租房，符合税收法律法规规定的，对其公益性捐赠支出未超过其申报的应纳税所得额 30% 的部分，准予从其应纳税所得额中扣除。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六、对符合地方政府规定条件的城镇住房保障家庭从地方政府领取的住房租赁补贴，免征个人所得税。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七、对公租房免征房产税。对经营公租房所取得的租金收入，免征增值税。公租房经营管理单位应单独核算公租房租金收入，未单独核算的，不得享受免征增值税、房产税优惠政策。</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税务总局关于公共租赁住房税收优惠政策的公告》（财政部 税务总局公告2019年第61号）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8" w:name="_Toc67905243"/>
      <w:r>
        <w:rPr>
          <w:rFonts w:hint="eastAsia" w:ascii="仿宋" w:hAnsi="仿宋" w:eastAsia="仿宋" w:cs="仿宋"/>
          <w:b/>
          <w:bCs/>
          <w:sz w:val="30"/>
          <w:szCs w:val="30"/>
          <w:lang w:eastAsia="zh-CN"/>
        </w:rPr>
        <w:t>8.农村饮水安全工程税收优惠</w:t>
      </w:r>
      <w:bookmarkEnd w:id="8"/>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饮水工程运营管理单位</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b/>
          <w:color w:val="auto"/>
          <w:sz w:val="30"/>
          <w:szCs w:val="30"/>
          <w:lang w:eastAsia="zh-CN"/>
        </w:rPr>
        <w:t>【优惠内容】</w:t>
      </w:r>
      <w:r>
        <w:rPr>
          <w:rFonts w:hint="eastAsia" w:ascii="仿宋" w:hAnsi="仿宋" w:eastAsia="仿宋" w:cs="仿宋"/>
          <w:color w:val="auto"/>
          <w:sz w:val="30"/>
          <w:szCs w:val="30"/>
          <w:lang w:eastAsia="zh-CN"/>
        </w:rPr>
        <w:t>下述政策 ( 第五条除外 ) 自2019年1月1日至2023年12月31日执行。</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一、对饮水工程运营管理单位为建设饮水工程而承受土地使用权，免征契税。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二、对饮水工程运营管理单位为建设饮水工程取得土地使用权而签订的产权转移书据，以及与施工单位签订的建设工程承包合同，免征印花税。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三、对饮水工程运营管理单位自用的生产、办公用房产、土地，免征房产税、城镇土地使用税。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四、对饮水工程运营管理单位向农村居民提供生活用水取得的自来水销售收入，免征增值税。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五、对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六、本公告所称饮水工程，是指为农村居民提供生活用水而建设的供水工程设施。本公告所称饮水工程运营管理单位，是指负责饮水工程运营管理的自来水公司、供水公司、供水（总）站（厂、中心）、村集体、农民用水合作组织等单位。</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对于既向城镇居民供水，又向农村居民供水的饮水工程运营管理单位，依据向农村居民供水收入占总供水收入的比例免征增值税；依据向农村居民供水量占总供水量的比例免征契税、印花税、房产税和城镇土地使用税。无法提供具体比例或所提供数据不实的，不得享受上述税收优惠政策。</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七、符合上述条件的饮水工程运营管理单位自行申报享受减免税优惠，相关材料留存备查。</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税务总局关于继续实行农村饮水安全工程税收优惠政策的公告》（财政部 税务总局公告2019年第67号）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bookmarkStart w:id="9" w:name="_Toc67905244"/>
      <w:r>
        <w:rPr>
          <w:rFonts w:hint="eastAsia" w:ascii="仿宋" w:hAnsi="仿宋" w:eastAsia="仿宋" w:cs="仿宋"/>
          <w:b/>
          <w:bCs/>
          <w:sz w:val="30"/>
          <w:szCs w:val="30"/>
          <w:lang w:eastAsia="zh-CN"/>
        </w:rPr>
        <w:t>9.抗艾滋病药品免征增值税</w:t>
      </w:r>
      <w:bookmarkEnd w:id="9"/>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药品生产企业和流通企业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自2019年1月1日至2023年12月31日，继续对国产抗艾滋病病毒药品免征生产环节和流通环节增值税。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税务总局关于延续免征国产抗艾滋病病毒药品增值税政策的公告》（财政部 税务总局公告2019年第73号）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0" w:name="_Toc67647601"/>
      <w:bookmarkStart w:id="11" w:name="_Toc67905245"/>
      <w:r>
        <w:rPr>
          <w:rFonts w:hint="eastAsia" w:ascii="仿宋" w:hAnsi="仿宋" w:eastAsia="仿宋" w:cs="仿宋"/>
          <w:b/>
          <w:bCs/>
          <w:sz w:val="30"/>
          <w:szCs w:val="30"/>
          <w:lang w:eastAsia="zh-CN"/>
        </w:rPr>
        <w:t>10.对内资研发机构和外资研发中心采购国产设备全额退还增值税</w:t>
      </w:r>
      <w:bookmarkEnd w:id="10"/>
      <w:bookmarkEnd w:id="11"/>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内资研发机构和外资研发中心</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自2019年1月1日至2023年12月31日，对内资研发机构和外资研发中心采购国产设备全额退还增值税。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商务部 税务总局关于继续执行研发机构采购设备增值税政策的公告》（2019年第91号）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2" w:name="_Toc67905246"/>
      <w:r>
        <w:rPr>
          <w:rFonts w:hint="eastAsia" w:ascii="仿宋" w:hAnsi="仿宋" w:eastAsia="仿宋" w:cs="仿宋"/>
          <w:b/>
          <w:bCs/>
          <w:sz w:val="30"/>
          <w:szCs w:val="30"/>
          <w:lang w:eastAsia="zh-CN"/>
        </w:rPr>
        <w:t>11.新支线飞机和大型客机有关增值税、房产税和城镇土地使用税政策</w:t>
      </w:r>
      <w:bookmarkEnd w:id="12"/>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生产销售新支线飞机、从事大型客机研制项目纳税人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自2019年1月1日起至2023年12月31日止，对纳税人生产销售新支线飞机暂减按5%征收增值税，并对其因生产销售新支线飞机而形成的增值税期末留抵税额予以退还。</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自2019年1月1日起至2023年12月31日止，对纳税人从事大型客机研制项目而形成的增值税期末留抵税额予以退还；对上述纳税人及其全资子公司自用的科研、生产、办公房产及土地，免征房产税、城镇土地使用税。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（1）《财政部 税务总局关于民用航空发动机、新支线飞机和大型客机税收政策的公告》（财政部 税务总局公告2019年第88号）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3" w:name="_Toc67905247"/>
      <w:r>
        <w:rPr>
          <w:rFonts w:hint="eastAsia" w:ascii="仿宋" w:hAnsi="仿宋" w:eastAsia="仿宋" w:cs="仿宋"/>
          <w:b/>
          <w:bCs/>
          <w:sz w:val="30"/>
          <w:szCs w:val="30"/>
          <w:lang w:eastAsia="zh-CN"/>
        </w:rPr>
        <w:t>12.医疗机构接受其他医疗机构委托提供医疗服务免征增值税</w:t>
      </w:r>
      <w:bookmarkEnd w:id="13"/>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bCs/>
          <w:color w:val="auto"/>
          <w:sz w:val="30"/>
          <w:szCs w:val="30"/>
          <w:lang w:eastAsia="zh-CN"/>
        </w:rPr>
        <w:t>【</w:t>
      </w: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医疗机构</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2月1日至2023年12月31日，医疗机构接受其他医疗机构委托，按照不高于地（市）级以上价格主管部门会同同级卫生主管部门及其他相关部门制定的医疗服务指导价格（包括政府指导价和按照规定由供需双方协商确定的价格等），提供《全国医疗服务价格项目规范》所列的各项服务，可适用《营业税改征增值税试点过渡政策的规定》（财税〔2016〕36号印发）第一条第（七）项规定的免征增值税政策。</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税务总局关于明确养老机构免征增值税等政策的通知》（财税〔2019〕20号）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（2）《营业税改征增值税试点过渡政策的规定》（财税〔2016〕36号印发）</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4" w:name="_Toc67905248"/>
      <w:r>
        <w:rPr>
          <w:rFonts w:hint="eastAsia" w:ascii="仿宋" w:hAnsi="仿宋" w:eastAsia="仿宋" w:cs="仿宋"/>
          <w:b/>
          <w:bCs/>
          <w:sz w:val="30"/>
          <w:szCs w:val="30"/>
          <w:lang w:eastAsia="zh-CN"/>
        </w:rPr>
        <w:t>13.对企业集团内单位之间的资金无偿借贷行为免征增值税</w:t>
      </w:r>
      <w:bookmarkEnd w:id="14"/>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企业集团</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自2019年2月1日至2023年12月31日，对企业集团内单位（含企业集团）之间的资金无偿借贷行为，免征增值税。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税务总局关于明确养老机构免征增值税等政策的通知》（财税〔2019〕20号）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5" w:name="_Toc67905249"/>
      <w:r>
        <w:rPr>
          <w:rFonts w:hint="eastAsia" w:ascii="仿宋" w:hAnsi="仿宋" w:eastAsia="仿宋" w:cs="仿宋"/>
          <w:b/>
          <w:bCs/>
          <w:sz w:val="30"/>
          <w:szCs w:val="30"/>
          <w:lang w:eastAsia="zh-CN"/>
        </w:rPr>
        <w:t>14.对金融机构与小型企业、微型企业签订的借款合同免征印花税</w:t>
      </w:r>
      <w:bookmarkEnd w:id="15"/>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金融机构</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自2018年1月1日至2023年12月31日，对金融机构与小型企业、微型企业签订的借款合同免征印花税。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税务总局关于支持小微企业融资有关税收政策的通知》（财税〔2017〕77号）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6" w:name="_Toc67905250"/>
      <w:r>
        <w:rPr>
          <w:rFonts w:hint="eastAsia" w:ascii="仿宋" w:hAnsi="仿宋" w:eastAsia="仿宋" w:cs="仿宋"/>
          <w:b/>
          <w:bCs/>
          <w:sz w:val="30"/>
          <w:szCs w:val="30"/>
          <w:lang w:eastAsia="zh-CN"/>
        </w:rPr>
        <w:t>15.原油等货物期货市场对外开放暂免征收个人所得税</w:t>
      </w:r>
      <w:bookmarkEnd w:id="16"/>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境外个人投资者</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自原油期货对外开放之日起，对境外个人投资者投资中国境内原油期货取得的所得，三年内暂免征收个人所得税。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 税务总局 证监会关于支持原油等货物期货市场对外开放税收政策的通知》（财税〔2018〕21号）文件规定的税收优惠政策凡已经到期的，执行期限延长至2023年12月31日。</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 证监会关于支持原油等货物期货市场对外开放税收政策的通知》（财税〔2018〕21号）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i w:val="0"/>
          <w:iCs w:val="0"/>
          <w:sz w:val="30"/>
          <w:szCs w:val="30"/>
          <w:lang w:eastAsia="zh-CN"/>
        </w:rPr>
      </w:pPr>
      <w:bookmarkStart w:id="17" w:name="_Toc67905251"/>
      <w:r>
        <w:rPr>
          <w:rFonts w:hint="eastAsia" w:ascii="仿宋" w:hAnsi="仿宋" w:eastAsia="仿宋" w:cs="仿宋"/>
          <w:b/>
          <w:bCs/>
          <w:i w:val="0"/>
          <w:iCs w:val="0"/>
          <w:sz w:val="30"/>
          <w:szCs w:val="30"/>
          <w:lang w:eastAsia="zh-CN"/>
        </w:rPr>
        <w:t>16.页岩气资源税减征30%</w:t>
      </w:r>
      <w:bookmarkEnd w:id="17"/>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页岩气资源税纳税人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自2018年4月1日至2023年12月31日，对页岩气资源税（按6%的规定税率）减征30%。</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税务总局关于对页岩气减征资源税的通知》（财税〔2018〕26号）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8" w:name="_Toc67905252"/>
      <w:r>
        <w:rPr>
          <w:rFonts w:hint="eastAsia" w:ascii="仿宋" w:hAnsi="仿宋" w:eastAsia="仿宋" w:cs="仿宋"/>
          <w:b/>
          <w:bCs/>
          <w:sz w:val="30"/>
          <w:szCs w:val="30"/>
          <w:lang w:eastAsia="zh-CN"/>
        </w:rPr>
        <w:t>17.挂车减半征收车辆购置税</w:t>
      </w:r>
      <w:bookmarkEnd w:id="18"/>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购置挂车企业和个人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自2018年7月1日至2023年12月30日，对购置挂车减半征收车辆购置税。购置日期按照《机动车销售统一发票》《海关关税专用缴款书》或者其他有效凭证的开具日期确定。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 工业和信息化部关于对挂车减征车辆购置税的公告》（财政部税务总局工业和信息化部公告2018年第69号）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9" w:name="_Toc67905253"/>
      <w:r>
        <w:rPr>
          <w:rFonts w:hint="eastAsia" w:ascii="仿宋" w:hAnsi="仿宋" w:eastAsia="仿宋" w:cs="仿宋"/>
          <w:b/>
          <w:bCs/>
          <w:sz w:val="30"/>
          <w:szCs w:val="30"/>
          <w:lang w:eastAsia="zh-CN"/>
        </w:rPr>
        <w:t>18.供热企业免征增值税</w:t>
      </w:r>
      <w:bookmarkEnd w:id="19"/>
    </w:p>
    <w:p>
      <w:pPr>
        <w:pageBreakBefore w:val="0"/>
        <w:widowControl/>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供热企业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自2019年1月1日至2023年供暖期结束，对供热企业向居民个人供热取得的采暖费收入免征增值税。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税务总局关于延续供热企业增值税 房产税 城镇土地使用税优惠政策的通知》（财税〔2019〕38号）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0" w:name="_Toc67905254"/>
      <w:r>
        <w:rPr>
          <w:rFonts w:hint="eastAsia" w:ascii="仿宋" w:hAnsi="仿宋" w:eastAsia="仿宋" w:cs="仿宋"/>
          <w:b/>
          <w:bCs/>
          <w:sz w:val="30"/>
          <w:szCs w:val="30"/>
          <w:lang w:eastAsia="zh-CN"/>
        </w:rPr>
        <w:t>19.供热企业减免房产税、城镇土地使用税</w:t>
      </w:r>
      <w:bookmarkEnd w:id="20"/>
    </w:p>
    <w:p>
      <w:pPr>
        <w:pageBreakBefore w:val="0"/>
        <w:widowControl/>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供热企业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自2019年1月1日至2023年12月31日，对向居民供热收取采暖费的供热企业，为居民供热所使用的厂房及土地免征房产税、城镇土地使用税；对供热企业其他厂房及土地，应当按照规定征收房产税、城镇土地使用税。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税务总局关于延续供热企业增值税 房产税 城镇土地使用税优惠政策的通知》（财税〔2019〕38号）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1" w:name="_Toc67905255"/>
      <w:r>
        <w:rPr>
          <w:rFonts w:hint="eastAsia" w:ascii="仿宋" w:hAnsi="仿宋" w:eastAsia="仿宋" w:cs="仿宋"/>
          <w:b/>
          <w:bCs/>
          <w:sz w:val="30"/>
          <w:szCs w:val="30"/>
          <w:lang w:eastAsia="zh-CN"/>
        </w:rPr>
        <w:t>20.易地扶贫搬迁贫困人口税收政策</w:t>
      </w:r>
      <w:bookmarkEnd w:id="21"/>
    </w:p>
    <w:p>
      <w:pPr>
        <w:pageBreakBefore w:val="0"/>
        <w:widowControl/>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易地扶贫搬迁贫困人口</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易地扶贫搬迁贫困人口税收政策：自2018年1月1日至2025年12月31日，（一）对易地扶贫搬迁贫困人口按规定取得的住房建设补助资金、拆旧复垦奖励资金等与易地扶贫搬迁相关的货币化补偿和易地扶贫搬迁安置住房（以下简称安置住房），免征个人所得税。（二）对易地扶贫搬迁贫困人口按规定取得的安置住房，免征契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税务总局关于易地扶贫搬迁税收优惠政策的通知》（财税〔2018〕135号）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2" w:name="_Toc67905256"/>
      <w:r>
        <w:rPr>
          <w:rFonts w:hint="eastAsia" w:ascii="仿宋" w:hAnsi="仿宋" w:eastAsia="仿宋" w:cs="仿宋"/>
          <w:b/>
          <w:bCs/>
          <w:sz w:val="30"/>
          <w:szCs w:val="30"/>
          <w:lang w:eastAsia="zh-CN"/>
        </w:rPr>
        <w:t>21.易地扶贫搬迁安置住房税收政策</w:t>
      </w:r>
      <w:bookmarkEnd w:id="22"/>
    </w:p>
    <w:p>
      <w:pPr>
        <w:pageBreakBefore w:val="0"/>
        <w:widowControl/>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易地扶贫搬迁项目实施主体、项目单位</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易地扶贫搬迁安置住房税收政策：自2018年1月1日至2025年12月31日，（一）对易地扶贫搬迁项目实施主体（以下简称项目实施主体）取得用于建设安置住房的土地，免征契税、印花税。（二）对安置住房建设和分配过程中应由项目实施主体、项目单位缴纳的印花税，予以免征。（三）对安置住房用地，免征城镇土地使用税。（四）在商品住房等开发项目中配套建设安置住房的，按安置住房建筑面积占总建筑面积的比例，计算应予免征的安置住房用地相关的契税、城镇土地使用税，以及项目实施主体、项目单位相关的印花税。（五）对项目实施主体购买商品住房或者回购保障性住房作为安置住房房源的，免征契税、印花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税务总局关于易地扶贫搬迁税收优惠政策的通知》（财税〔2018〕135号）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3" w:name="_Toc67905257"/>
      <w:r>
        <w:rPr>
          <w:rFonts w:hint="eastAsia" w:ascii="仿宋" w:hAnsi="仿宋" w:eastAsia="仿宋" w:cs="仿宋"/>
          <w:b/>
          <w:bCs/>
          <w:sz w:val="30"/>
          <w:szCs w:val="30"/>
          <w:lang w:eastAsia="zh-CN"/>
        </w:rPr>
        <w:t>22.保险公司准备金支出企业所得税税前扣除有关政策</w:t>
      </w:r>
      <w:bookmarkEnd w:id="23"/>
    </w:p>
    <w:p>
      <w:pPr>
        <w:pageBreakBefore w:val="0"/>
        <w:widowControl/>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保险公司</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一、保险公司按下列规定缴纳的保险保障基金，准予据实税前扣除：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1.非投资型财产保险业务，不得超过保费收入的0.8%；投资型财产保险业务，有保证收益的，不得超过业务收入的0.08%，无保证收益的，不得超过业务收入的0.05%。</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2.有保证收益的人寿保险业务，不得超过业务收入的0.15%；无保证收益的人寿保险业务，不得超过业务收入的0.05%。</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3.短期健康保险业务，不得超过保费收入的0.8%；长期健康保险业务，不得超过保费收入的0.15%。</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4.非投资型意外伤害保险业务，不得超过保费收入的0.8%；投资型意外伤害保险业务，有保证收益的，不得超过业务收入的0.08%，无保证收益的，不得超过业务收入的0.05%。</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三、保险公司按国务院财政部门的相关规定提取的未到期责任准备金、寿险责任准备金、长期健康险责任准备金、已发生已报案未决赔款准备金和已发生未报案未决赔款准备金，准予在税前扣除。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1.未到期责任准备金、寿险责任准备金、长期健康险责任准备金依据经中国保监会核准任职资格的精算师或出具专项审计报告的中介机构确定的金额提取。</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2.已发生已报案未决赔款准备金，按最高不超过当期已经提出的保险赔款或者给付金额的100%提取；已发生未报案未决赔款准备金按不超过当年实际赔款支出额的8%提取。</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四、保险公司经营财政给予保费补贴的农业保险，按不超过财政部门规定的农业保险大灾风险准备金（简称大灾准备金）计提比例，计提的大灾准备金，准予在企业所得税前据实扣除。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五、保险公司实际发生的各种保险赔款、给付，应首先冲抵按规定提取的准备金，不足冲抵部分，准予在当年税前扣除。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【政策依据】</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国家税务总局关于保险公司准备金支出企业所得税税前扣除有关政策问题的通知》（财税〔2016〕114号）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4" w:name="_Toc67905258"/>
      <w:r>
        <w:rPr>
          <w:rFonts w:hint="eastAsia" w:ascii="仿宋" w:hAnsi="仿宋" w:eastAsia="仿宋" w:cs="仿宋"/>
          <w:b/>
          <w:bCs/>
          <w:sz w:val="30"/>
          <w:szCs w:val="30"/>
          <w:lang w:eastAsia="zh-CN"/>
        </w:rPr>
        <w:t>23.中小企业融资(信用)担保机构有关准备金企业所得税税前扣除政策</w:t>
      </w:r>
      <w:bookmarkEnd w:id="24"/>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中小企业融资(信用)担保机构</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一、符合条件的中小企业融资(信用)担保机构按照不超过当年年末担保责任余额1%的比例计提的担保赔偿准备，允许在企业所得税税前扣除，同时将上年度计提的担保赔偿准备余额转为当期收入。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二、符合条件的中小企业融资(信用)担保机构按照不超过当年担保费收入50%的比例计提的未到期责任准备，允许在企业所得税税前扣除，同时将上年度计提的未到期责任准备余额转为当期收入。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三、中小企业融资(信用)担保机构实际发生的代偿损失，符合税收法律法规关于资产损失税前扣除政策规定的，应冲减已在税前扣除的担保赔偿准备，不足冲减部分据实在企业所得税税前扣除。</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税务总局关于中小企业融资（信用）担保机构有关准备金企业所得税税前扣除政策的通知》（财税〔2017〕22号）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5" w:name="_Toc67905259"/>
      <w:r>
        <w:rPr>
          <w:rFonts w:hint="eastAsia" w:ascii="仿宋" w:hAnsi="仿宋" w:eastAsia="仿宋" w:cs="仿宋"/>
          <w:b/>
          <w:bCs/>
          <w:sz w:val="30"/>
          <w:szCs w:val="30"/>
          <w:lang w:eastAsia="zh-CN"/>
        </w:rPr>
        <w:t>24.证券行业准备金支出企业所得税税前扣除有关政策</w:t>
      </w:r>
      <w:bookmarkEnd w:id="25"/>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证券行业纳税人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一、证券类准备金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（一）证券交易所风险基金。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上海、深圳证券交易所依据《证券交易所风险基金管理暂行办法》（证监发〔2000〕22号）的有关规定，按证券交易所交易收取经手费的20%、会员年费的10%提取的证券交易所风险基金，在各基金净资产不超过10亿元的额度内，准予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（二）证券结算风险基金。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中国证券登记结算公司所属上海分公司、深圳分公司依据《证券结算风险基金管理办法》（证监发〔2006〕65号）的有关规定，按证券登记结算公司业务收入的20%提取的证券结算风险基金，在各基金净资产不超过30亿元的额度内，准予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证券公司依据《证券结算风险基金管理办法》（证监发〔2006〕65号）的有关规定，作为结算会员按人民币普通股和基金成交金额的十万分之三、国债现货成交金额的十万分之一、1天期国债回购成交额的千万分之五、2天期国债回购成交额的千万分之十、3天期国债回购成交额的千万分之十五、4天期国债回购成交额的千万分之二十、7天期国债回购成交额的千万分之五十、14天期国债回购成交额的十万分之一、28天期国债回购成交额的十万分之二、91天期国债回购成交额的十万分之六、182天期国债回购成交额的十万分之十二逐日交纳的证券结算风险基金，准予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（三）证券投资者保护基金。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上海、深圳证券交易所依据《证券投资者保护基金管理办法》（证监会令第27号、第124号）的有关规定，在风险基金分别达到规定的上限后，按交易经手费的20%缴纳的证券投资者保护基金，准予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2.证券公司依据《证券投资者保护基金管理办法》（证监会令第27号、第124号）的有关规定，按其营业收入0.5%—5%缴纳的证券投资者保护基金，准予在 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二、期货类准备金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（一）期货交易所风险准备金。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大连商品交易所、郑州商品交易所和中国金融期货交易所依据《期货交易管理条例》（国务院令第489号）、《期货交易所管理办法》（证监会令第42号）和《商品期货交易财务管理暂行规定》（财商字〔1997〕44号）的有关规定，上海期货交易所依据《期货交易管理条例》（国务院令第489号）、《期货交易所管理办法》（证监会令第42号）和《关于调整上海期货交易所风险准备金规模的批复》（证监函〔2009〕407号）的有关规定，分别按向会员收取手续费收入的20%计提的风险准备金，在风险准备金余额达到有关规定的额度内，准予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（二）期货公司风险准备金。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期货公司依据《期货公司管理办法》（证监会令第43号）和《商品期货交易财务管理暂行规定》（财商字〔1997〕44号）的有关规定，从其收取的交易手续费收入减去应付期货交易所手续费后的净收入的5%提取的期货公司风险准备金，准予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（三）期货投资者保障基金。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上海期货交易所、大连商品交易所、郑州商品交易所和中国金融期货交易所依据《期货投资者保障基金管理办法》（证监会令第38号、第129号）和《关于明确期货投资者保障基金缴纳比例有关事项的规定》（证监会财政部公告〔2016〕26号）的有关规定，按其向期货公司会员收取的交易手续费的2%（2016年12月8日前按3%）缴纳的期货投资者保障基金，在基金总额达到有关规定的额度内，准予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期货公司依据《期货投资者保障基金管理办法》（证监会令第38号、第129号）和《关于明确期货投资者保障基金缴纳比例有关事项的规定》（证监会财政部公告〔2016〕26号）的有关规定，从其收取的交易手续费中按照代理交易额的亿分之五至亿分之十的比例（2016年12月8日前按千万分之五至千万分之十的比例）缴纳的期货投资者保障基金，在基金总额达到有关规定的额度内，准予在企业所得税税前扣除。</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税务总局关于证券行业准备金支出企业所得税税前扣除有关政策问题的通知》（财税〔2017〕23号）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6" w:name="_Toc67905260"/>
      <w:r>
        <w:rPr>
          <w:rFonts w:hint="eastAsia" w:ascii="仿宋" w:hAnsi="仿宋" w:eastAsia="仿宋" w:cs="仿宋"/>
          <w:b/>
          <w:bCs/>
          <w:sz w:val="30"/>
          <w:szCs w:val="30"/>
          <w:lang w:eastAsia="zh-CN"/>
        </w:rPr>
        <w:t>25.金融企业涉农贷款和中小企业贷款损失准备金税前扣除有关政策</w:t>
      </w:r>
      <w:bookmarkEnd w:id="26"/>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金融企业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金融企业根据《贷款风险分类指引》（银监发〔2007〕54号），对其涉农贷款和中小企业贷款进行风险分类后，按照以下比例计提的贷款损失准备金，准予在计算应纳税所得额时扣除：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（一）关注类贷款，计提比例为2%；</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（二）次级类贷款，计提比例为25%；</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（三）可疑类贷款，计提比例为50%；</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（四）损失类贷款，计提比例为100%。</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税务总局关于金融企业涉农贷款和中小企业贷款损失准备金税前扣除有关政策的公告》（财政部  税务总局公告2019年第85号）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7" w:name="_Toc67905261"/>
      <w:r>
        <w:rPr>
          <w:rFonts w:hint="eastAsia" w:ascii="仿宋" w:hAnsi="仿宋" w:eastAsia="仿宋" w:cs="仿宋"/>
          <w:b/>
          <w:bCs/>
          <w:sz w:val="30"/>
          <w:szCs w:val="30"/>
          <w:lang w:eastAsia="zh-CN"/>
        </w:rPr>
        <w:t>26.金融企业贷款损失准备金企业所得税税前扣除有关政策</w:t>
      </w:r>
      <w:bookmarkEnd w:id="27"/>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政策性银行、商业银行、财务公司、城乡信用社和金融租赁公司等金融企业</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一、准予税前提取贷款损失准备金的贷款资产范围包括：</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（一）贷款（含抵押、质押、保证、信用等贷款）；</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（二）银行卡透支、贴现、信用垫款（含银行承兑汇票垫款、信用证垫款、担保垫款等）、进出口押汇、同业拆出、应收融资租赁款等具有贷款特征的风险资产；</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（三）由金融企业转贷并承担对外还款责任的国外贷款，包括国际金融组织贷款、外国买方信贷、外国政府贷款、日本国际协力银行不附条件贷款和外国政府混合贷款等资产。</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二、金融企业准予当年税前扣除的贷款损失准备金计算公式如下：</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准予当年税前扣除的贷款损失准备金＝本年末准予提取贷款损失准备金的贷款资产余额×1%－截至上年末已在税前扣除的贷款损失准备金的余额</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金融企业按上述公式计算的数额如为负数，应当相应调增当年应纳税所得额。</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税务总局关于金融企业贷款损失准备金企业所得税税前扣除有关政策的公告》（财政部  税务总局公告2019年第86号）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40" w:firstLineChars="200"/>
        <w:jc w:val="both"/>
        <w:outlineLvl w:val="9"/>
        <w:rPr>
          <w:rFonts w:hint="eastAsia" w:ascii="黑体" w:hAnsi="黑体" w:eastAsia="黑体" w:cs="黑体"/>
          <w:sz w:val="32"/>
          <w:szCs w:val="32"/>
          <w:lang w:eastAsia="zh-CN"/>
        </w:rPr>
      </w:pPr>
      <w:bookmarkStart w:id="28" w:name="_Toc67905262"/>
    </w:p>
    <w:p>
      <w:pPr>
        <w:pageBreakBefore w:val="0"/>
        <w:numPr>
          <w:ilvl w:val="0"/>
          <w:numId w:val="1"/>
        </w:numPr>
        <w:kinsoku/>
        <w:wordWrap/>
        <w:overflowPunct/>
        <w:topLinePunct w:val="0"/>
        <w:autoSpaceDE/>
        <w:autoSpaceDN/>
        <w:bidi w:val="0"/>
        <w:adjustRightInd w:val="0"/>
        <w:snapToGrid w:val="0"/>
        <w:spacing w:line="560" w:lineRule="exact"/>
        <w:ind w:left="0" w:firstLine="640" w:firstLineChars="200"/>
        <w:jc w:val="both"/>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应对疫情类</w:t>
      </w:r>
      <w:bookmarkEnd w:id="28"/>
      <w:bookmarkStart w:id="29" w:name="_Toc67905263"/>
    </w:p>
    <w:p>
      <w:pPr>
        <w:pageBreakBefore w:val="0"/>
        <w:numPr>
          <w:ilvl w:val="0"/>
          <w:numId w:val="0"/>
        </w:numPr>
        <w:kinsoku/>
        <w:wordWrap/>
        <w:overflowPunct/>
        <w:topLinePunct w:val="0"/>
        <w:autoSpaceDE/>
        <w:autoSpaceDN/>
        <w:bidi w:val="0"/>
        <w:adjustRightInd w:val="0"/>
        <w:snapToGrid w:val="0"/>
        <w:spacing w:line="560" w:lineRule="exact"/>
        <w:ind w:firstLine="904" w:firstLineChars="300"/>
        <w:jc w:val="both"/>
        <w:outlineLvl w:val="9"/>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27.取得政府规定标准的疫情防治临时性工作补助和奖金免征个人所得税</w:t>
      </w:r>
      <w:bookmarkEnd w:id="29"/>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参加疫情防治工作的医务人员和防疫工作者</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自2020年1月1日至2021年12月31日，对参加疫情防治工作的医务人员和防疫工作者按照政府规定标准取得的临时性工作补助和奖金，免征个人所得税。政府规定标准包括各级政府规定的补助和奖金标准。</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对省级及省级以上人民政府规定的对参与疫情防控人员的临时性工作补助和奖金，比照执行。</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（1）《财政部 税务总局关于支持新型冠状病毒感染的肺炎疫情防控有关个人所得税政策的公告》（2020年第10号）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0" w:name="_Toc67905264"/>
      <w:r>
        <w:rPr>
          <w:rFonts w:hint="eastAsia" w:ascii="仿宋" w:hAnsi="仿宋" w:eastAsia="仿宋" w:cs="仿宋"/>
          <w:b/>
          <w:bCs/>
          <w:sz w:val="30"/>
          <w:szCs w:val="30"/>
          <w:lang w:eastAsia="zh-CN"/>
        </w:rPr>
        <w:t>28.个人取得单位发放的预防新型冠状病毒感染肺炎的医药防护用品等免征个人所得税</w:t>
      </w:r>
      <w:bookmarkEnd w:id="30"/>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取得单位发放的用于预防新型冠状病毒感染的肺炎的药品、医疗用品和防护用品等实物（不包括现金）的个人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自2020年1月1日至2021年12月31日，单位发给个人用于预防新型冠状病毒感染的肺炎的药品、医疗用品和防护用品等实物（不包括现金），不计入工资、薪金收入，免征个人所得税。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（1）《财政部 税务总局关于支持新型冠状病毒感染的肺炎疫情防控有关个人所得税政策的公告》（2020年第10号）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sz w:val="30"/>
          <w:szCs w:val="30"/>
          <w:lang w:eastAsia="zh-CN"/>
        </w:rPr>
      </w:pPr>
      <w:r>
        <w:rPr>
          <w:rFonts w:hint="eastAsia" w:ascii="仿宋" w:hAnsi="仿宋" w:eastAsia="仿宋" w:cs="仿宋"/>
          <w:color w:val="auto"/>
          <w:sz w:val="30"/>
          <w:szCs w:val="30"/>
          <w:lang w:eastAsia="zh-CN"/>
        </w:rPr>
        <w:t>（3）《财政部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1" w:name="_Toc67905265"/>
      <w:r>
        <w:rPr>
          <w:rFonts w:hint="eastAsia" w:ascii="仿宋" w:hAnsi="仿宋" w:eastAsia="仿宋" w:cs="仿宋"/>
          <w:b/>
          <w:bCs/>
          <w:sz w:val="30"/>
          <w:szCs w:val="30"/>
          <w:lang w:eastAsia="zh-CN"/>
        </w:rPr>
        <w:t>29.阶段性减免增值税小规模纳税人增值税</w:t>
      </w:r>
      <w:bookmarkEnd w:id="31"/>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增值税小规模纳税人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自2020年3月1日至 2021年 12月31日，增值税小规模纳税人适用 3% 征收率的应税销售收入，减按 1%征收率征收增值税，按以下公式计算销售额：销售额=含税销售额/（1+1%）；适用 3%预征率的预缴增值税项目，减按 1%预征率预缴增值税。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增值税小规模纳税人在办理增值税纳税申报时，按照上述规定，免征增值税的销售额等项目应当填写在《增值税纳税申报表（小规模纳税人适用）》及《增值税减免税申报明细表》免税项目相应栏次；减按 1%征收率征收增值税的销售额应当填写在《增值税纳税申报表（小规模纳税人适用）》“应征增值税不含税销售额（3%征收率）”相应栏次，对应减征的增值税应纳税额按销售额的 2%计算填写在《增值税纳税申报表（小规模纳税人适用）》“本期应纳税额减征额”及《增值税减免税申报明细表》减税项目相应栏次。</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《增值税纳税申报表（小规模纳税人适用）附列资料》 第8栏“不含税销售额”计算公式调整为：第8栏=第7栏 -（1+征收率）。</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税务总局关于支持个体工商户复工复业增值税政策的公告》（2020年第13号）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（2）《国家税务总局关于支持个体工商户复工复业等税收征收管理事项的公告》（2020年第5号）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税务总局关于延长小规模纳税人减免增值税政策执行期限的公告》（2020年第24号）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2" w:name="_Toc67905266"/>
      <w:r>
        <w:rPr>
          <w:rFonts w:hint="eastAsia" w:ascii="仿宋" w:hAnsi="仿宋" w:eastAsia="仿宋" w:cs="仿宋"/>
          <w:b/>
          <w:bCs/>
          <w:sz w:val="30"/>
          <w:szCs w:val="30"/>
          <w:lang w:eastAsia="zh-CN"/>
        </w:rPr>
        <w:t>30.电影放映服务免征增值税</w:t>
      </w:r>
      <w:bookmarkEnd w:id="32"/>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提供电影放映服务的纳税人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自2020年1月1日至2021年12月31日，对纳税人提供电影放映服务取得的收入免征增值税。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电影放映服务，是指持有《电影放映经营许可证》的单位利用专业的电影院放映设备，为观众提供的电影视听服务。</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税务总局关于电影等行业税费支持政策的公告》（财政部 税务总局公告2020年第25号）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3" w:name="_Toc67905267"/>
      <w:r>
        <w:rPr>
          <w:rFonts w:hint="eastAsia" w:ascii="仿宋" w:hAnsi="仿宋" w:eastAsia="仿宋" w:cs="仿宋"/>
          <w:b/>
          <w:bCs/>
          <w:sz w:val="30"/>
          <w:szCs w:val="30"/>
          <w:lang w:eastAsia="zh-CN"/>
        </w:rPr>
        <w:t>31.电影行业企业2020年、2021年度发生的亏损最长结转年限延长至8年</w:t>
      </w:r>
      <w:bookmarkEnd w:id="33"/>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电影行业企业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对电影行业企业2020年、2021年度发生的亏损，最长结转年限由5年延长至8年。</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电影行业企业限于电影制作、发行和放映等企业，不包括通过互联网、电信网、广播电视网等信息网络传播电影的企业。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税务总局关于电影等行业税费支持政策的公告》（财政部 税务总局公告2020年第25号）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4" w:name="_Toc67905268"/>
      <w:r>
        <w:rPr>
          <w:rFonts w:hint="eastAsia" w:ascii="仿宋" w:hAnsi="仿宋" w:eastAsia="仿宋" w:cs="仿宋"/>
          <w:b/>
          <w:bCs/>
          <w:sz w:val="30"/>
          <w:szCs w:val="30"/>
          <w:lang w:eastAsia="zh-CN"/>
        </w:rPr>
        <w:t>32.免征文化事业建设费</w:t>
      </w:r>
      <w:bookmarkEnd w:id="34"/>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文化事业建设费缴费人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对所属期为2020年1月1日至2021年12月31日的文化事业建设费予以免征。</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税务总局关于电影等行业税费支持政策的公告》（财政部 税务总局公告2020年第25号）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sz w:val="30"/>
          <w:szCs w:val="30"/>
          <w:lang w:eastAsia="zh-CN"/>
        </w:rPr>
      </w:pPr>
      <w:r>
        <w:rPr>
          <w:rFonts w:hint="eastAsia" w:ascii="仿宋" w:hAnsi="仿宋" w:eastAsia="仿宋" w:cs="仿宋"/>
          <w:color w:val="auto"/>
          <w:sz w:val="30"/>
          <w:szCs w:val="30"/>
          <w:lang w:eastAsia="zh-CN"/>
        </w:rPr>
        <w:t>（2）《财政部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5" w:name="_Toc67905269"/>
      <w:r>
        <w:rPr>
          <w:rFonts w:hint="eastAsia" w:ascii="仿宋" w:hAnsi="仿宋" w:eastAsia="仿宋" w:cs="仿宋"/>
          <w:b/>
          <w:bCs/>
          <w:sz w:val="30"/>
          <w:szCs w:val="30"/>
          <w:lang w:eastAsia="zh-CN"/>
        </w:rPr>
        <w:t>33.对疫情防控重点保障物资生产企业全额退还增值税增量留抵税额</w:t>
      </w:r>
      <w:bookmarkEnd w:id="35"/>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疫情防控重点保障物资生产企业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自2020年1月1日至2021年3月31日，疫情防控重点保障物资生产企业可以按月向主管税务机关申请全额退还增值税增量留抵税额。增量留抵税额，是指与2019年12月底相比新增加的期末留抵税额。</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疫情防控重点保障物资生产企业适用增值税增量留抵退税政策的，应当在增值税纳税申报期内，完成本期增值税纳税申报后，向主管税务机关申请退还增量留抵税额。</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企业名单由省级及省级以上发展改革部门、工业和信息化部门确定。收到的名单如下（更新至 2021 年 3 月）：</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（1）2020年3月25日《国家税务总局关于转发&lt;中央企业纳入疫情防控重点保障物资生产企业名单（第一批）&gt;等事项的通知》（税总函〔2020〕53号）共32户企业。</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（2）2020年4月21日，《国家税务总局关于中国供销集团相关企业纳入疫情防控重点保障物资生产企业名单的通知》（税总函〔2020〕67号）共3户企业。</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（3）2020 年 3 月 20 日，《国家税务总局关于疫情防控重点保障物资生产企业名单有关事项的通知》（税总函〔2020〕49 号）附件：疫情防控重点保障物资（医疗应急）生产企业名单（第一批），河北省21家。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（4）2020年4月7日，《国家税务总局关于转发&lt;疫情防控重点保障物资（医疗应急）生产企业名单（第二批）&gt;等事项的通知》（税总函〔2020〕58 号），河北省19家。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（5）2020年5月8日，《国家税务总局关于转发&lt;疫情防控重点保障物资生产企业名单（第三批）&gt;的通知》（税总函〔2020〕79号），河北省10家。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（6）2020年3月24日，《河北省发展和改革委员会关于确定全省疫情防控重点保障物资生产企业名单的函（第一批）》（冀发改财金〔2020〕353 号），共283家。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（7）2020年4月1日，《河北省发展和改革委员会关于确定全省疫情防控重点保障物资生产企业名单的函（第二批）》（冀发改财金〔2020〕403 号），共103家。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（8）2020年4月14日，《河北省发展和改革委员会关于确定全省疫情防控重点保障物资生产企业名单的函（第三批）》（冀发改财金〔2020〕477号），共38家。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（9）2020年4月29日，《河北省发展和改革委员会关于确定全省疫情防控重点保障物资生产企业名单的函（第四批）》（冀发改财金〔2020〕563号），共35家。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（10）2020年5月14日，《河北省发展和改革委员会关于确定全省疫情防控重点保障物资生产企业名单的函（第五批）》（冀发改财金〔2020〕640号），共4家。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（11）2020年6月2日，《河北省发展和改革委员会关于确定全省疫情防控重点保障物资生产企业名单的函（第六批）》（冀发改财金〔2020〕766号），共7家。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（12）2020年6月24日，《河北省发展和改革委员会关于确定全省疫情防控重点保障物资生产企业名单的函（第七批）》（冀发改财金〔2020〕889号），共5家。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（13）2020年8月12日，《河北省发展和改革委员会关于确定全省疫情防控重点保障物资生产企业名单的函（第七批）》（冀发改财金〔2020〕1226号），共2家。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（14）2021年3月26日，《河北省发展和改革委员会关于确定全省疫情防控重点保障物资生产企业名单的函（第九批）》（冀发改财金〔2021〕343号），共17家。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（15）2020年2月3日，河北省应对新型冠状病毒肺炎                       疫情工作领导小组物资保障组发布《关于发布河北省第一批疫情防控重点物资生产企业名单的通知》，共52家。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（16）2020年3月1日，河北省应对新型冠状病毒肺炎                       疫情工作领导小组物资保障组发布《关于发布河北省第二批疫情防控重点物资生产企业名单的通知》，共96家。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（17）2020年3月4日，河北省应对新型冠状病毒肺炎                       疫情工作领导小组物资保障组发布《关于发布河北省第三批疫情防控重点物资生产企业名单的通知》，共145家。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（18）2020年3月12日，河北省应对新型冠状病毒肺炎                       疫情工作领导小组物资保障组发布《关于发布河北省第四批疫情防控重点物资生产企业名单的通知》，共192家。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（19）2020年4月2日，河北省应对新型冠状病毒肺炎                       疫情工作领导小组物资保障组发布《关于发布河北省第五批疫情防控重点物资生产企业名单的通知》，共226家。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（20）2020年5月29日，河北省应对新型冠状病毒肺炎                       疫情工作领导小组物资保障组发布《关于发布河北省第六批疫情防控重点物资生产企业名单的通知》，共182家。</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（1）《财政部 税务总局关于支持新型冠状病毒感染的肺炎疫情防控有关税收政策的公告》（2020年第8号）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（2）《国家税务总局关于支持新型冠状病毒感染的肺炎疫情防控有关税收征收管理事项的公告》（2020年第4号）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6" w:name="_Toc67905270"/>
      <w:r>
        <w:rPr>
          <w:rFonts w:hint="eastAsia" w:ascii="仿宋" w:hAnsi="仿宋" w:eastAsia="仿宋" w:cs="仿宋"/>
          <w:b/>
          <w:bCs/>
          <w:sz w:val="30"/>
          <w:szCs w:val="30"/>
          <w:lang w:eastAsia="zh-CN"/>
        </w:rPr>
        <w:t>34.纳税人提供疫情防控重点保障物资运输收入免征增值税</w:t>
      </w:r>
      <w:bookmarkEnd w:id="36"/>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提供疫情防控重点保障物资运输服务的纳税人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自2020年1月1日至2021年3月31日，对纳税人运输疫情防控重点保障物资取得的收入，免征增值税、城市维护建设税、教育费附加、地方教育附加。</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疫情防控重点保障物资的具体范围，由国家发展改革委、工业和信息化部确定，具体内容如下：</w:t>
      </w:r>
    </w:p>
    <w:p>
      <w:pPr>
        <w:pageBreakBefore w:val="0"/>
        <w:widowControl/>
        <w:kinsoku/>
        <w:wordWrap/>
        <w:overflowPunct/>
        <w:topLinePunct w:val="0"/>
        <w:autoSpaceDE/>
        <w:autoSpaceDN/>
        <w:bidi w:val="0"/>
        <w:adjustRightInd w:val="0"/>
        <w:snapToGrid w:val="0"/>
        <w:spacing w:before="100" w:beforeAutospacing="1" w:after="225" w:line="560" w:lineRule="exact"/>
        <w:ind w:left="0" w:firstLine="602"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国家发展改革委疫情防控重点保障物资清单</w:t>
      </w:r>
    </w:p>
    <w:tbl>
      <w:tblPr>
        <w:tblStyle w:val="9"/>
        <w:tblW w:w="9039" w:type="dxa"/>
        <w:tblInd w:w="0" w:type="dxa"/>
        <w:tblLayout w:type="autofit"/>
        <w:tblCellMar>
          <w:top w:w="0" w:type="dxa"/>
          <w:left w:w="0" w:type="dxa"/>
          <w:bottom w:w="0" w:type="dxa"/>
          <w:right w:w="0" w:type="dxa"/>
        </w:tblCellMar>
      </w:tblPr>
      <w:tblGrid>
        <w:gridCol w:w="1384"/>
        <w:gridCol w:w="1701"/>
        <w:gridCol w:w="5954"/>
      </w:tblGrid>
      <w:tr>
        <w:tblPrEx>
          <w:tblCellMar>
            <w:top w:w="0" w:type="dxa"/>
            <w:left w:w="0" w:type="dxa"/>
            <w:bottom w:w="0" w:type="dxa"/>
            <w:right w:w="0" w:type="dxa"/>
          </w:tblCellMar>
        </w:tblPrEx>
        <w:tc>
          <w:tcPr>
            <w:tcW w:w="138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序号</w:t>
            </w:r>
          </w:p>
        </w:tc>
        <w:tc>
          <w:tcPr>
            <w:tcW w:w="170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分类</w:t>
            </w:r>
          </w:p>
        </w:tc>
        <w:tc>
          <w:tcPr>
            <w:tcW w:w="5954"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物资清单</w:t>
            </w:r>
          </w:p>
        </w:tc>
      </w:tr>
      <w:tr>
        <w:tblPrEx>
          <w:tblCellMar>
            <w:top w:w="0" w:type="dxa"/>
            <w:left w:w="0" w:type="dxa"/>
            <w:bottom w:w="0" w:type="dxa"/>
            <w:right w:w="0" w:type="dxa"/>
          </w:tblCellMar>
        </w:tblPrEx>
        <w:tc>
          <w:tcPr>
            <w:tcW w:w="1384"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一</w:t>
            </w:r>
          </w:p>
        </w:tc>
        <w:tc>
          <w:tcPr>
            <w:tcW w:w="170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医疗应急物资</w:t>
            </w:r>
          </w:p>
        </w:tc>
        <w:tc>
          <w:tcPr>
            <w:tcW w:w="59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1.应对疫情使用的医用防护服、隔离服、隔离面罩、医用及具有防护作用的民用口罩、医用护目镜、新型冠状病毒检测试剂盒、负压救护车、消毒机、消杀用品、红外测温仪、智能监测检测系统、相关医疗器械、酒精和药品等重要医用物资。</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0" w:type="auto"/>
            <w:vMerge w:val="continue"/>
            <w:tcBorders>
              <w:top w:val="nil"/>
              <w:left w:val="nil"/>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59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2.生产上述物资所需的重要原辅材料、重要设备和相关配套设备。</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0" w:type="auto"/>
            <w:vMerge w:val="continue"/>
            <w:tcBorders>
              <w:top w:val="nil"/>
              <w:left w:val="nil"/>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59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3.为应对疫情提供相关信息的通信设备。</w:t>
            </w:r>
          </w:p>
        </w:tc>
      </w:tr>
      <w:tr>
        <w:tblPrEx>
          <w:tblCellMar>
            <w:top w:w="0" w:type="dxa"/>
            <w:left w:w="0" w:type="dxa"/>
            <w:bottom w:w="0" w:type="dxa"/>
            <w:right w:w="0" w:type="dxa"/>
          </w:tblCellMar>
        </w:tblPrEx>
        <w:trPr>
          <w:trHeight w:val="236" w:hRule="atLeast"/>
        </w:trPr>
        <w:tc>
          <w:tcPr>
            <w:tcW w:w="1384"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二</w:t>
            </w:r>
          </w:p>
        </w:tc>
        <w:tc>
          <w:tcPr>
            <w:tcW w:w="170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生活物资</w:t>
            </w:r>
          </w:p>
        </w:tc>
        <w:tc>
          <w:tcPr>
            <w:tcW w:w="59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1.帐篷、棉被、棉大衣、折叠床等救灾物资。</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0" w:type="auto"/>
            <w:vMerge w:val="continue"/>
            <w:tcBorders>
              <w:top w:val="nil"/>
              <w:left w:val="nil"/>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59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2.疫情防控期间市场需要重点保供的粮食、食用油、食盐、糖，以及蔬菜、肉蛋奶、水产品等"菜篮子"产品，方便和速冻食品等重要生活必需品。</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0" w:type="auto"/>
            <w:vMerge w:val="continue"/>
            <w:tcBorders>
              <w:top w:val="nil"/>
              <w:left w:val="nil"/>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59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3.蔬菜种苗、仔畜雏禽及种畜禽、水产种苗、饲料、化肥、种子、农药等农用物资。</w:t>
            </w:r>
          </w:p>
        </w:tc>
      </w:tr>
    </w:tbl>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p>
      <w:pPr>
        <w:pageBreakBefore w:val="0"/>
        <w:widowControl/>
        <w:kinsoku/>
        <w:wordWrap/>
        <w:overflowPunct/>
        <w:topLinePunct w:val="0"/>
        <w:autoSpaceDE/>
        <w:autoSpaceDN/>
        <w:bidi w:val="0"/>
        <w:adjustRightInd w:val="0"/>
        <w:snapToGrid w:val="0"/>
        <w:spacing w:before="100" w:beforeAutospacing="1" w:after="225" w:line="560" w:lineRule="exact"/>
        <w:ind w:left="0" w:firstLine="602"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 xml:space="preserve">工业和信息化部疫情防控重点保障物资（医疗应急）清单 </w:t>
      </w:r>
    </w:p>
    <w:tbl>
      <w:tblPr>
        <w:tblStyle w:val="9"/>
        <w:tblW w:w="8946" w:type="dxa"/>
        <w:tblInd w:w="0" w:type="dxa"/>
        <w:tblLayout w:type="autofit"/>
        <w:tblCellMar>
          <w:top w:w="0" w:type="dxa"/>
          <w:left w:w="0" w:type="dxa"/>
          <w:bottom w:w="0" w:type="dxa"/>
          <w:right w:w="0" w:type="dxa"/>
        </w:tblCellMar>
      </w:tblPr>
      <w:tblGrid>
        <w:gridCol w:w="810"/>
        <w:gridCol w:w="1132"/>
        <w:gridCol w:w="1955"/>
        <w:gridCol w:w="5049"/>
      </w:tblGrid>
      <w:tr>
        <w:tblPrEx>
          <w:tblCellMar>
            <w:top w:w="0" w:type="dxa"/>
            <w:left w:w="0" w:type="dxa"/>
            <w:bottom w:w="0" w:type="dxa"/>
            <w:right w:w="0" w:type="dxa"/>
          </w:tblCellMar>
        </w:tblPrEx>
        <w:trPr>
          <w:trHeight w:val="600" w:hRule="atLeast"/>
        </w:trPr>
        <w:tc>
          <w:tcPr>
            <w:tcW w:w="58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序号 </w:t>
            </w:r>
          </w:p>
        </w:tc>
        <w:tc>
          <w:tcPr>
            <w:tcW w:w="1134"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一级分类 </w:t>
            </w:r>
          </w:p>
        </w:tc>
        <w:tc>
          <w:tcPr>
            <w:tcW w:w="1985"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二级分类 </w:t>
            </w:r>
          </w:p>
        </w:tc>
        <w:tc>
          <w:tcPr>
            <w:tcW w:w="5245"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物资清单 </w:t>
            </w:r>
          </w:p>
        </w:tc>
      </w:tr>
      <w:tr>
        <w:tblPrEx>
          <w:tblCellMar>
            <w:top w:w="0" w:type="dxa"/>
            <w:left w:w="0" w:type="dxa"/>
            <w:bottom w:w="0" w:type="dxa"/>
            <w:right w:w="0" w:type="dxa"/>
          </w:tblCellMar>
        </w:tblPrEx>
        <w:trPr>
          <w:trHeight w:val="1187"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1 </w:t>
            </w:r>
          </w:p>
        </w:tc>
        <w:tc>
          <w:tcPr>
            <w:tcW w:w="1134" w:type="dxa"/>
            <w:vMerge w:val="restart"/>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一、药品 </w:t>
            </w: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（一）一般治疗及重型、危重型病例治疗药品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α-干扰素、洛匹那韦利托那韦片（盒）、抗菌药物、甲泼尼龙、糖皮质激素等经卫生健康、药监部门依程序确认治疗有效的药品和疫苗（以国家卫健委新型冠状病毒感染的肺炎诊疗方案为准）。 </w:t>
            </w:r>
          </w:p>
        </w:tc>
      </w:tr>
      <w:tr>
        <w:tblPrEx>
          <w:tblCellMar>
            <w:top w:w="0" w:type="dxa"/>
            <w:left w:w="0" w:type="dxa"/>
            <w:bottom w:w="0" w:type="dxa"/>
            <w:right w:w="0" w:type="dxa"/>
          </w:tblCellMar>
        </w:tblPrEx>
        <w:trPr>
          <w:trHeight w:val="2960"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2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（二）中医治疗药品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藿香正气胶囊（丸、水、口服液）、金花清感颗粒、连花清瘟胶囊（颗粒）、疏风解毒胶囊（颗粒）、防风通圣丸（颗粒）、喜炎平注射剂、血必净注射剂、参附注射液、生脉注射液、苏合香丸、安宫牛黄丸等中成药（以国家卫健委新型冠状病毒感染的肺炎诊疗方案为准）。苍术、陈皮、厚朴、藿香、草果、生麻黄、羌活、生姜、槟郎、杏仁、生石膏、瓜蒌、生大黄、葶苈子、桃仁、人参、黑顺片、山茱萸、法半夏、党参、炙黄芪、茯苓、砂仁等中药饮片（以国家卫健委新型冠状病毒感染的肺炎诊疗方案为准）。 </w:t>
            </w:r>
          </w:p>
        </w:tc>
      </w:tr>
      <w:tr>
        <w:tblPrEx>
          <w:tblCellMar>
            <w:top w:w="0" w:type="dxa"/>
            <w:left w:w="0" w:type="dxa"/>
            <w:bottom w:w="0" w:type="dxa"/>
            <w:right w:w="0" w:type="dxa"/>
          </w:tblCellMar>
        </w:tblPrEx>
        <w:trPr>
          <w:trHeight w:val="307"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3 </w:t>
            </w:r>
          </w:p>
        </w:tc>
        <w:tc>
          <w:tcPr>
            <w:tcW w:w="1134"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二、试剂 </w:t>
            </w: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（一）检验检测用品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新型冠状病毒检测试剂盒等。 </w:t>
            </w:r>
          </w:p>
        </w:tc>
      </w:tr>
      <w:tr>
        <w:tblPrEx>
          <w:tblCellMar>
            <w:top w:w="0" w:type="dxa"/>
            <w:left w:w="0" w:type="dxa"/>
            <w:bottom w:w="0" w:type="dxa"/>
            <w:right w:w="0" w:type="dxa"/>
          </w:tblCellMar>
        </w:tblPrEx>
        <w:trPr>
          <w:trHeight w:val="920"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4 </w:t>
            </w:r>
          </w:p>
        </w:tc>
        <w:tc>
          <w:tcPr>
            <w:tcW w:w="1134" w:type="dxa"/>
            <w:vMerge w:val="restart"/>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三、消杀用品及其主要原料、包装材料 </w:t>
            </w: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（一）消杀用品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医用酒精、84消毒液、过氧乙酸消毒液、过氧化氢（3%）消毒液、含氯泡腾片、免洗手消毒液、速干手消毒剂等。 </w:t>
            </w:r>
          </w:p>
        </w:tc>
      </w:tr>
      <w:tr>
        <w:tblPrEx>
          <w:tblCellMar>
            <w:top w:w="0" w:type="dxa"/>
            <w:left w:w="0" w:type="dxa"/>
            <w:bottom w:w="0" w:type="dxa"/>
            <w:right w:w="0" w:type="dxa"/>
          </w:tblCellMar>
        </w:tblPrEx>
        <w:trPr>
          <w:trHeight w:val="400"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5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（二）消杀用品主要原料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次氯酸钠、双氧水、95%食品级酒精等。 </w:t>
            </w:r>
          </w:p>
        </w:tc>
      </w:tr>
      <w:tr>
        <w:tblPrEx>
          <w:tblCellMar>
            <w:top w:w="0" w:type="dxa"/>
            <w:left w:w="0" w:type="dxa"/>
            <w:bottom w:w="0" w:type="dxa"/>
            <w:right w:w="0" w:type="dxa"/>
          </w:tblCellMar>
        </w:tblPrEx>
        <w:trPr>
          <w:trHeight w:val="600"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6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（三）消杀用品包装材料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挤压泵、塑料瓶（桶）、玻璃瓶（桶）、纸箱、标签等。 </w:t>
            </w:r>
          </w:p>
        </w:tc>
      </w:tr>
      <w:tr>
        <w:tblPrEx>
          <w:tblCellMar>
            <w:top w:w="0" w:type="dxa"/>
            <w:left w:w="0" w:type="dxa"/>
            <w:bottom w:w="0" w:type="dxa"/>
            <w:right w:w="0" w:type="dxa"/>
          </w:tblCellMar>
        </w:tblPrEx>
        <w:trPr>
          <w:trHeight w:val="1707"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7 </w:t>
            </w:r>
          </w:p>
        </w:tc>
        <w:tc>
          <w:tcPr>
            <w:tcW w:w="1134" w:type="dxa"/>
            <w:vMerge w:val="restart"/>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四、防护用品及其主要原料、生产设备 </w:t>
            </w: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（一）防护用品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医用防护口罩、医用外科口罩、医用防护服、负压防护头罩、医用靴套、医用全面型呼吸防护机（器）、医用隔离眼罩/医用隔离面罩、一次性乳胶手套、手术服（衣）、隔离衣、一次性工作帽、一次性医用帽（病人用）等。 </w:t>
            </w:r>
          </w:p>
        </w:tc>
      </w:tr>
      <w:tr>
        <w:tblPrEx>
          <w:tblCellMar>
            <w:top w:w="0" w:type="dxa"/>
            <w:left w:w="0" w:type="dxa"/>
            <w:bottom w:w="0" w:type="dxa"/>
            <w:right w:w="0" w:type="dxa"/>
          </w:tblCellMar>
        </w:tblPrEx>
        <w:trPr>
          <w:trHeight w:val="1253"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8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（二）防护用品主要原料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覆膜纺粘布、透气膜、熔喷无纺布、隔离眼罩及面罩用PET/PC防雾卷材以及片材、密封条、拉链、抗静电剂以及其他生产医用防护服、医用口罩等的重要原材料。 </w:t>
            </w:r>
          </w:p>
        </w:tc>
      </w:tr>
      <w:tr>
        <w:tblPrEx>
          <w:tblCellMar>
            <w:top w:w="0" w:type="dxa"/>
            <w:left w:w="0" w:type="dxa"/>
            <w:bottom w:w="0" w:type="dxa"/>
            <w:right w:w="0" w:type="dxa"/>
          </w:tblCellMar>
        </w:tblPrEx>
        <w:trPr>
          <w:trHeight w:val="507"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9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（三）防护用品生产设备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防护服压条机、口罩机等。 </w:t>
            </w:r>
          </w:p>
        </w:tc>
      </w:tr>
      <w:tr>
        <w:tblPrEx>
          <w:tblCellMar>
            <w:top w:w="0" w:type="dxa"/>
            <w:left w:w="0" w:type="dxa"/>
            <w:bottom w:w="0" w:type="dxa"/>
            <w:right w:w="0" w:type="dxa"/>
          </w:tblCellMar>
        </w:tblPrEx>
        <w:trPr>
          <w:trHeight w:val="2773"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10 </w:t>
            </w:r>
          </w:p>
        </w:tc>
        <w:tc>
          <w:tcPr>
            <w:tcW w:w="1134" w:type="dxa"/>
            <w:vMerge w:val="restart"/>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br w:type="textWrapping"/>
            </w:r>
            <w:r>
              <w:rPr>
                <w:rFonts w:hint="eastAsia" w:ascii="仿宋" w:hAnsi="仿宋" w:eastAsia="仿宋" w:cs="仿宋"/>
                <w:sz w:val="30"/>
                <w:szCs w:val="30"/>
                <w:lang w:eastAsia="zh-CN"/>
              </w:rPr>
              <w:br w:type="textWrapping"/>
            </w:r>
            <w:r>
              <w:rPr>
                <w:rFonts w:hint="eastAsia" w:ascii="仿宋" w:hAnsi="仿宋" w:eastAsia="仿宋" w:cs="仿宋"/>
                <w:sz w:val="30"/>
                <w:szCs w:val="30"/>
                <w:lang w:eastAsia="zh-CN"/>
              </w:rPr>
              <w:t xml:space="preserve">五、专用车辆、装备、仪器及关键元器件 </w:t>
            </w: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（一）车辆装备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负压救护车及其他类型救护车、专用作业车辆；负压隔离舱、可快速展开的负压隔离病房、负压隔离帐篷系统；车载负压系统、正压智能防护系统；CT、便携式DR、心电图机、彩超超声仪等，电子喉镜、纤支镜等；呼吸机、监护仪、除颤仪、高流量呼吸湿化治疗仪、医用电动病床；血色分析仪、PCR仪、ACT检测仪等；注射泵、输液泵、人工心肺（ECMO）、CRRT等。 </w:t>
            </w:r>
          </w:p>
        </w:tc>
      </w:tr>
      <w:tr>
        <w:tblPrEx>
          <w:tblCellMar>
            <w:top w:w="0" w:type="dxa"/>
            <w:left w:w="0" w:type="dxa"/>
            <w:bottom w:w="0" w:type="dxa"/>
            <w:right w:w="0" w:type="dxa"/>
          </w:tblCellMar>
        </w:tblPrEx>
        <w:trPr>
          <w:trHeight w:val="1280"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11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（二）消杀装备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背负式充电超低容量喷雾机、背负式充电超低容量喷雾器、过氧化氢消毒机、等离子空气消毒机、终末空气消毒机等。 </w:t>
            </w:r>
          </w:p>
        </w:tc>
      </w:tr>
      <w:tr>
        <w:tblPrEx>
          <w:tblCellMar>
            <w:top w:w="0" w:type="dxa"/>
            <w:left w:w="0" w:type="dxa"/>
            <w:bottom w:w="0" w:type="dxa"/>
            <w:right w:w="0" w:type="dxa"/>
          </w:tblCellMar>
        </w:tblPrEx>
        <w:trPr>
          <w:trHeight w:val="1107"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12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（三）电子仪器仪表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全自动红外体温监测仪、门式体温监测仪、手持式红外测温仪等红外体温检测设备及其他智能监测检测系统。 </w:t>
            </w:r>
          </w:p>
        </w:tc>
      </w:tr>
      <w:tr>
        <w:tblPrEx>
          <w:tblCellMar>
            <w:top w:w="0" w:type="dxa"/>
            <w:left w:w="0" w:type="dxa"/>
            <w:bottom w:w="0" w:type="dxa"/>
            <w:right w:w="0" w:type="dxa"/>
          </w:tblCellMar>
        </w:tblPrEx>
        <w:trPr>
          <w:trHeight w:val="987"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13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（四）关键元器件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黑体、温度传感器、传感器芯片、显示面板、阻容元件、探测器、电接插元件、锂电池、印制电路板等。 </w:t>
            </w:r>
          </w:p>
        </w:tc>
      </w:tr>
      <w:tr>
        <w:tblPrEx>
          <w:tblCellMar>
            <w:top w:w="0" w:type="dxa"/>
            <w:left w:w="0" w:type="dxa"/>
            <w:bottom w:w="0" w:type="dxa"/>
            <w:right w:w="0" w:type="dxa"/>
          </w:tblCellMar>
        </w:tblPrEx>
        <w:trPr>
          <w:trHeight w:val="307"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14 </w:t>
            </w:r>
          </w:p>
        </w:tc>
        <w:tc>
          <w:tcPr>
            <w:tcW w:w="3119" w:type="dxa"/>
            <w:gridSpan w:val="2"/>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六、生产上述医用物资的重要设备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w:t>
            </w:r>
          </w:p>
        </w:tc>
      </w:tr>
    </w:tbl>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（1）《财政部 税务总局关于支持新型冠状病毒感染的肺炎疫情防控有关税收政策的公告》（2020年第8号）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（2）《国家税务总局关于支持新型冠状病毒感染的肺炎疫情防控有关税收征收管理事项的公告》（2020年第4号）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7" w:name="_Toc67905271"/>
      <w:r>
        <w:rPr>
          <w:rFonts w:hint="eastAsia" w:ascii="仿宋" w:hAnsi="仿宋" w:eastAsia="仿宋" w:cs="仿宋"/>
          <w:b/>
          <w:bCs/>
          <w:sz w:val="30"/>
          <w:szCs w:val="30"/>
          <w:lang w:eastAsia="zh-CN"/>
        </w:rPr>
        <w:t>35.纳税人提供公共交通运输服务、生活服务及居民必需生活物资快递收派服务收入免征增值税</w:t>
      </w:r>
      <w:bookmarkEnd w:id="37"/>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提供公共交通运输服务、生活服务，以及为居民提供必需生活物资快递收派服务的纳税人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xml:space="preserve">自2020年1月1日至2021年3月31日，对纳税人提供公共交通运输服务、生活服务，以及为居民提供必需生活物资快递收派服务取得的收入，免征增值税。 </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公共交通运输服务的具体范围，按照《营业税改征增值税试点有关事项的规定》（财税〔2016〕36号印发）执行。</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生活服务、快递收派服务的具体范围，按照《销售服务、无形资产、不动产注释》（财税〔2016〕36号印发）执行。</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bl>
      <w:tblPr>
        <w:tblStyle w:val="9"/>
        <w:tblW w:w="0" w:type="auto"/>
        <w:tblInd w:w="0" w:type="dxa"/>
        <w:tblLayout w:type="autofit"/>
        <w:tblCellMar>
          <w:top w:w="0" w:type="dxa"/>
          <w:left w:w="0" w:type="dxa"/>
          <w:bottom w:w="0" w:type="dxa"/>
          <w:right w:w="0" w:type="dxa"/>
        </w:tblCellMar>
      </w:tblPr>
      <w:tblGrid>
        <w:gridCol w:w="1368"/>
        <w:gridCol w:w="7154"/>
      </w:tblGrid>
      <w:tr>
        <w:tblPrEx>
          <w:tblCellMar>
            <w:top w:w="0" w:type="dxa"/>
            <w:left w:w="0" w:type="dxa"/>
            <w:bottom w:w="0" w:type="dxa"/>
            <w:right w:w="0" w:type="dxa"/>
          </w:tblCellMar>
        </w:tblPrEx>
        <w:tc>
          <w:tcPr>
            <w:tcW w:w="136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公共交通运输服务</w:t>
            </w:r>
          </w:p>
        </w:tc>
        <w:tc>
          <w:tcPr>
            <w:tcW w:w="7154"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包括轮客渡、公交客运、地铁、城市轻轨、出租车、长途客运、班车。其中，班车是指按固定路线、固定时间运营并在固定站点停靠的运送旅客的陆路运输服务。</w:t>
            </w:r>
          </w:p>
        </w:tc>
      </w:tr>
      <w:tr>
        <w:tblPrEx>
          <w:tblCellMar>
            <w:top w:w="0" w:type="dxa"/>
            <w:left w:w="0" w:type="dxa"/>
            <w:bottom w:w="0" w:type="dxa"/>
            <w:right w:w="0" w:type="dxa"/>
          </w:tblCellMar>
        </w:tblPrEx>
        <w:tc>
          <w:tcPr>
            <w:tcW w:w="13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生活服务</w:t>
            </w:r>
          </w:p>
        </w:tc>
        <w:tc>
          <w:tcPr>
            <w:tcW w:w="71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是指为满足城乡居民日常生活需求提供的各类服务活动。包括文化体育服务、教育医疗服务、旅游娱乐服务、餐饮住宿服务、居民日常服务和其他生活服务。</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文化体育服务，包括文化服务和体育服务。（1）文化服务，是指为满足社会公众文化生活需求提供的各种服务。包括：文艺创作、文艺表演、文化比赛，图书馆的图书和资料借阅，档案馆的档案管理，文物及非物质文化遗产保护，组织举办宗教活动、科技活动、文化活动，提供游览场所。（2）体育服务，是指组织举办体育比赛、体育表演、体育活动，以及提供体育训练、体育指导、体育管理的业务活动。</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教育医疗服务，包括教育服务和医疗服务。（1）教育服务，是指提供学历教育服务、非学历教育服务、教育辅助服务的业务活动。学历教育服务，是指根据教育行政管理部门确定或者认可的招生和教学计划组织教学，并颁发相应学历证书的业务活动。包括初等教育、初级中等教育、高级中等教育、高等教育等。非学历教育服务，包括学前教育、各类培训、演讲、讲座、报告会等。教育辅助服务，包括教育测评、考试、招生等服务。（2）医疗服务，是指提供医学检查、诊断、治疗、康复、预防、保健、接生、计划生育、防疫服务等方面的服务，以及与这些服务有关的提供药品、医用材料器具、救护车、病房住宿和伙食的业务。</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旅游娱乐服务，包括旅游服务和娱乐服务。（1）旅游服务，是指根据旅游者的要求，组织安排交通、游览、住宿、餐饮、购物、文娱、商务等服务的业务活动。（2）娱乐服务，是指为娱乐活动同时提供场所和服务的业务。具体包括：歌厅、舞厅、夜总会、酒吧、台球、高尔夫球、保龄球、游艺（包括射击、狩猎、跑马、游戏机、蹦极、卡丁车、热气球、动力伞、射箭、飞镖）。</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餐饮住宿服务，包括餐饮服务和住宿服务。（1）餐饮服务，是指通过同时提供饮食和饮食场所的方式为消费者提供饮食消费服务的业务活动。（2）住宿服务，是指提供住宿场所及配套服务等的活动。包括宾馆、旅馆、旅社、度假村和其他经营性住宿场所提供的住宿服务。</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居民日常服务，是指主要为满足居民个人及其家庭日常生活需求提供的服务，包括市容市政管理、家政、婚庆、养老、殡葬、照料和护理、救助救济、美容美发、按摩、桑拿、氧吧、足疗、沐浴、洗染、摄影扩印等服务。</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■其他生活服务，是指除文化体育服务、教育医疗服务、旅游娱乐服务、餐饮住宿服务和居民日常服务之外的生活服务。</w:t>
            </w:r>
          </w:p>
        </w:tc>
      </w:tr>
      <w:tr>
        <w:tblPrEx>
          <w:tblCellMar>
            <w:top w:w="0" w:type="dxa"/>
            <w:left w:w="0" w:type="dxa"/>
            <w:bottom w:w="0" w:type="dxa"/>
            <w:right w:w="0" w:type="dxa"/>
          </w:tblCellMar>
        </w:tblPrEx>
        <w:tc>
          <w:tcPr>
            <w:tcW w:w="136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收派服务</w:t>
            </w:r>
          </w:p>
        </w:tc>
        <w:tc>
          <w:tcPr>
            <w:tcW w:w="71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是指接受寄件人委托，在承诺的时限内完成函件和包裹的收件、分拣、派送服务的业务活动。</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■收件服务，是指从寄件人收取函件和包裹，并运送到服务提供方同城的集散中心的业务活动。</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■分拣服务，是指服务提供方在其集散中心对函件和包裹进行归类、分发的业务活动。</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■派送服务，是指服务提供方从其集散中心将函件和包裹送达同城的收件人的业务活动。</w:t>
            </w:r>
          </w:p>
        </w:tc>
      </w:tr>
    </w:tbl>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（1）《财政部 税务总局关于支持新型冠状病毒感染的肺炎疫情防控有关税收政策的公告》（2020年第8号）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（2）《财政部 税务总局关于全面推开营业税改征增值税试点的通知》（财税〔2016〕36号）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（3）《国家税务总局关于支持新型冠状病毒感染的肺炎疫情防控有关税收征收管理事项的公告》（2020年第4号）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（5）《财政部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8" w:name="_Toc67905272"/>
      <w:r>
        <w:rPr>
          <w:rFonts w:hint="eastAsia" w:ascii="仿宋" w:hAnsi="仿宋" w:eastAsia="仿宋" w:cs="仿宋"/>
          <w:b/>
          <w:bCs/>
          <w:sz w:val="30"/>
          <w:szCs w:val="30"/>
          <w:lang w:eastAsia="zh-CN"/>
        </w:rPr>
        <w:t>36.对疫情防控重点保障物资生产企业扩大产能购置设备允许企业所得税税前一次性扣除</w:t>
      </w:r>
      <w:bookmarkEnd w:id="38"/>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疫情防控重点保障物资生产企业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自2020年1月1日至2021年3月31日，对疫情防控重点保障物资生产企业为扩大产能新购置的相关设备，允许一次性计入当期成本费用在企业所得税税前扣除。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疫情防控重点保障物资生产企业适用一次性企业所得税税前扣除政策的，在优惠政策管理等方面参照《国家税务总局关于设备器具扣除有关企业所得税政策执行问题的公告》（2018年第46号）的规定执行。企业在纳税申报时将相关情况填入企业所得税纳税申报表"固定资产一次性扣除"行次。</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企业名单由省级及省级以上发展改革部门、工业和信息化部门确定。收到的名单如下（更新至 2021 年 3 月）：</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（1）2020年3月25日《国家税务总局关于转发&lt;中央企业纳入疫情防控重点保障物资生产企业名单（第一批）&gt;等事项的通知》（税总函〔2020〕53号）共32户企业。</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（2）2020年4月21日，《国家税务总局关于中国供销集团相关企业纳入疫情防控重点保障物资生产企业名单的通知》（税总函〔2020〕67号）共3户企业。</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（3）2020 年 3 月 20 日，《国家税务总局关于疫情防控重点保障物资生产企业名单有关事项的通知》（税总函〔2020〕49 号）附件：疫情防控重点保障物资（医疗应急）生产企业名单（第一批），河北省21家。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（4）2020年4月7日，《国家税务总局关于转发&lt;疫情防控重点保障物资（医疗应急）生产企业名单（第二批）&gt;等事项的通知》（税总函〔2020〕58 号），河北省19家。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（5）2020年5月8日，《国家税务总局关于转发&lt;疫情防控重点保障物资生产企业名单（第三批）&gt;的通知》（税总函〔2020〕79号），河北省10家。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（6）2020年3月24日，《河北省发展和改革委员会关于确定全省疫情防控重点保障物资生产企业名单的函（第一批）》（冀发改财金〔2020〕353 号），共283家。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（7）2020年4月1日，《河北省发展和改革委员会关于确定全省疫情防控重点保障物资生产企业名单的函（第二批）》（冀发改财金〔2020〕403 号），共103家。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（8）2020年4月14日，《河北省发展和改革委员会关于确定全省疫情防控重点保障物资生产企业名单的函（第三批）》（冀发改财金〔2020〕477号），共38家。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（9）2020年4月29日，《河北省发展和改革委员会关于确定全省疫情防控重点保障物资生产企业名单的函（第四批）》（冀发改财金〔2020〕563号），共35家。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（10）2020年5月14日，《河北省发展和改革委员会关于确定全省疫情防控重点保障物资生产企业名单的函（第五批）》（冀发改财金〔2020〕640号），共4家。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（11）2020年6月2日，《河北省发展和改革委员会关于确定全省疫情防控重点保障物资生产企业名单的函（第六批）》（冀发改财金〔2020〕766号），共7家。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（12）2020年6月24日，《河北省发展和改革委员会关于确定全省疫情防控重点保障物资生产企业名单的函（第七批）》（冀发改财金〔2020〕889号），共5家。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（13）2020年8月12日，《河北省发展和改革委员会关于确定全省疫情防控重点保障物资生产企业名单的函（第七批）》（冀发改财金〔2020〕1226号），共2家。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（14）2021年3月26日，《河北省发展和改革委员会关于确定全省疫情防控重点保障物资生产企业名单的函（第九批）》（冀发改财金〔2021〕343号），共17家。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（15）2020年2月3日，河北省应对新型冠状病毒肺炎                       疫情工作领导小组物资保障组发布《关于发布河北省第一批疫情防控重点物资生产企业名单的通知》，共52家。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（16）2020年3月1日，河北省应对新型冠状病毒肺炎                       疫情工作领导小组物资保障组发布《关于发布河北省第二批疫情防控重点物资生产企业名单的通知》，共96家。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（17）2020年3月4日，河北省应对新型冠状病毒肺炎                       疫情工作领导小组物资保障组发布《关于发布河北省第三批疫情防控重点物资生产企业名单的通知》，共145家。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（18）2020年3月12日，河北省应对新型冠状病毒肺炎                       疫情工作领导小组物资保障组发布《关于发布河北省第四批疫情防控重点物资生产企业名单的通知》，共192家。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（19）2020年4月2日，河北省应对新型冠状病毒肺炎                       疫情工作领导小组物资保障组发布《关于发布河北省第五批疫情防控重点物资生产企业名单的通知》，共226家。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（20）2020年5月29日，河北省应对新型冠状病毒肺炎                       疫情工作领导小组物资保障组发布《关于发布河北省第六批疫情防控重点物资生产企业名单的通知》，共182家。</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（1）《财政部 税务总局关于支持新型冠状病毒感染的肺炎疫情防控有关税收政策的公告》（2020年第8号）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（2）《国家税务总局关于支持新型冠状病毒感染的肺炎疫情防控有关税收征收管理事项的公告》（2020年第4号）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9" w:name="_Toc67905273"/>
      <w:r>
        <w:rPr>
          <w:rFonts w:hint="eastAsia" w:ascii="仿宋" w:hAnsi="仿宋" w:eastAsia="仿宋" w:cs="仿宋"/>
          <w:b/>
          <w:bCs/>
          <w:sz w:val="30"/>
          <w:szCs w:val="30"/>
          <w:lang w:eastAsia="zh-CN"/>
        </w:rPr>
        <w:t>37.通过公益性社会组织或县级以上人民政府及其部门等国家机关捐赠应对疫情的现金和物品允许企业所得税或个人所得税税前全额扣除</w:t>
      </w:r>
      <w:bookmarkEnd w:id="39"/>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通过公益性社会组织或者县级以上人民政府及其部门等国家机关对应对新型冠状病毒感染的肺炎疫情进行捐赠的企业和个人</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3月31日，企业和个人通过公益性社会组织或者县级以上人民政府及其部门等国家机关，捐赠用于应对新型冠状病毒感染的肺炎疫情的现金和物品，允许在计算企业所得税或个人所得税应纳税所得额时全额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国家机关、公益性社会组织接受的捐赠，应专项用于应对新型冠状病毒感染的肺炎疫情工作，不得挪作他用。</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公益性社会组织"是指依法取得公益性捐赠税前扣除资格的社会组织。企业享受规定的全额税前扣除政策的，采取"自行判别、申报享受、相关资料留存备查"的方式，并将捐赠全额扣除情况填入企业所得税纳税申报表相应行次。个人享受规定的全额税前扣除政策的，按照《财政部 税务总局关于公益慈善事业捐赠个人所得税政策的公告》（2019年第99号）有关规定执行。</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（1）《财政部 税务总局关于支持新型冠状病毒感染的肺炎疫情防控有关捐赠税收政策的公告》（2020年第9号）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（2）《国家税务总局关于支持新型冠状病毒感染的肺炎疫情防控有关税收征收管理事项的公告》（2020年第4号）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40" w:name="_Toc67905274"/>
      <w:r>
        <w:rPr>
          <w:rFonts w:hint="eastAsia" w:ascii="仿宋" w:hAnsi="仿宋" w:eastAsia="仿宋" w:cs="仿宋"/>
          <w:b/>
          <w:bCs/>
          <w:sz w:val="30"/>
          <w:szCs w:val="30"/>
          <w:lang w:eastAsia="zh-CN"/>
        </w:rPr>
        <w:t>38.直接向承担疫情防治任务的医院捐赠应对疫情物品允许企业所得税或个人所得税税前全额扣除</w:t>
      </w:r>
      <w:bookmarkEnd w:id="40"/>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直接向承担疫情防治任务的医院捐赠用于应对新型冠状病毒感染的肺炎疫情物品的企业和个人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自2020年1月1日至2021年3月31日，企业和个人直接向承担疫情防治任务的医院捐赠用于应对新型冠状病毒感染的肺炎疫情的物品，允许在计算企业所得税或个人所得税应纳税所得额时全额扣除。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捐赠人凭承担疫情防治任务的医院开具的捐赠接收函办理税前扣除事宜。</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承担疫情防治任务的医院接受的捐赠，应专项用于应对新型冠状病毒感染的肺炎疫情工作，不得挪作他用。</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企业享受规定的全额税前扣除政策的，采取"自行判别、申报享受、相关资料留存备查"的方式，并将捐赠全额扣除情况填入企业所得税纳税申报表相应行次。个人享受规定的全额税前扣除政策的，按照《财政部 税务总局关于公益慈善事业捐赠个人所得税政策的公告》（2019年第99号）有关规定执行；在办理个人所得税税前扣除、填写《个人所得税公益慈善事业捐赠扣除明细表》时，应当在备注栏注明"直接捐赠"。</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企业和个人取得承担疫情防治任务的医院开具的捐赠接收函，作为税前扣除依据自行留存备查。</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（1）《财政部 税务总局关于支持新型冠状病毒感染的肺炎疫情防控有关捐赠税收政策的公告》（2020年第9号）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（2）《国家税务总局关于支持新型冠状病毒感染的肺炎疫情防控有关税收征收管理事项的公告》（2020年第4号）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41" w:name="_Toc67905275"/>
      <w:r>
        <w:rPr>
          <w:rFonts w:hint="eastAsia" w:ascii="仿宋" w:hAnsi="仿宋" w:eastAsia="仿宋" w:cs="仿宋"/>
          <w:b/>
          <w:bCs/>
          <w:sz w:val="30"/>
          <w:szCs w:val="30"/>
          <w:lang w:eastAsia="zh-CN"/>
        </w:rPr>
        <w:t>39.无偿捐赠应对疫情的货物免征增值税、消费税、城市维护建设税、教育费附加、地方教育附加</w:t>
      </w:r>
      <w:bookmarkEnd w:id="41"/>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无偿捐赠应对疫情货物的单位和个体工商户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3月31日，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按规定享受免征增值税、消费税优惠的，可自主进行免税申报，无需办理有关免税备案手续，但应将相关证明材料留存备查。在办理增值税纳税申报时，应当填写增值税纳税申报表及《增值税减免税申报明细表》相应栏次；在办理消费税纳税申报时，应当填写消费税纳税申报表及《本期减（免）税额明细表》相应栏次。</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（1）《财政部 税务总局关于支持新型冠状病毒感染的肺炎疫情防控有关捐赠税收政策的公告》（2020年第9号）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（2）《国家税务总局关于支持新型冠状病毒感染的肺炎疫情防控有关税收征收管理事项的公告》（2020年第4号）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40" w:firstLineChars="200"/>
        <w:jc w:val="both"/>
        <w:outlineLvl w:val="9"/>
        <w:rPr>
          <w:rFonts w:hint="eastAsia" w:ascii="仿宋" w:hAnsi="仿宋" w:eastAsia="仿宋" w:cs="仿宋"/>
          <w:sz w:val="30"/>
          <w:szCs w:val="30"/>
          <w:lang w:eastAsia="zh-CN"/>
        </w:rPr>
      </w:pPr>
      <w:bookmarkStart w:id="42" w:name="_Toc67664140"/>
      <w:bookmarkStart w:id="43" w:name="_Toc67905276"/>
      <w:r>
        <w:rPr>
          <w:rFonts w:hint="eastAsia" w:ascii="黑体" w:hAnsi="黑体" w:eastAsia="黑体" w:cs="黑体"/>
          <w:sz w:val="32"/>
          <w:szCs w:val="32"/>
          <w:lang w:eastAsia="zh-CN"/>
        </w:rPr>
        <w:t>三、收费类</w:t>
      </w:r>
      <w:bookmarkEnd w:id="42"/>
      <w:bookmarkEnd w:id="43"/>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rPr>
          <w:rFonts w:hint="eastAsia" w:ascii="仿宋" w:hAnsi="仿宋" w:eastAsia="仿宋" w:cs="仿宋"/>
          <w:b/>
          <w:bCs/>
          <w:color w:val="auto"/>
          <w:sz w:val="30"/>
          <w:szCs w:val="30"/>
          <w:lang w:val="en-US" w:eastAsia="zh-CN" w:bidi="ar-SA"/>
        </w:rPr>
      </w:pPr>
      <w:bookmarkStart w:id="44" w:name="_Toc67905277"/>
      <w:bookmarkStart w:id="45" w:name="_Toc67664141"/>
      <w:r>
        <w:rPr>
          <w:rFonts w:hint="eastAsia" w:ascii="仿宋" w:hAnsi="仿宋" w:eastAsia="仿宋" w:cs="仿宋"/>
          <w:b/>
          <w:bCs/>
          <w:sz w:val="30"/>
          <w:szCs w:val="30"/>
          <w:lang w:eastAsia="zh-CN"/>
        </w:rPr>
        <w:t>40.</w:t>
      </w:r>
      <w:r>
        <w:rPr>
          <w:rFonts w:hint="eastAsia" w:ascii="仿宋" w:hAnsi="仿宋" w:eastAsia="仿宋"/>
          <w:b/>
          <w:bCs/>
          <w:color w:val="333333"/>
          <w:sz w:val="32"/>
          <w:szCs w:val="32"/>
          <w:shd w:val="clear" w:color="auto" w:fill="FFFFFF"/>
        </w:rPr>
        <w:t>对国家机关、事业单位、具有公共管理或者公共服务职能</w:t>
      </w:r>
      <w:r>
        <w:rPr>
          <w:rFonts w:hint="eastAsia" w:ascii="仿宋" w:hAnsi="仿宋" w:eastAsia="仿宋" w:cs="仿宋"/>
          <w:b/>
          <w:bCs/>
          <w:color w:val="auto"/>
          <w:sz w:val="30"/>
          <w:szCs w:val="30"/>
          <w:lang w:val="en-US" w:eastAsia="zh-CN" w:bidi="ar-SA"/>
        </w:rPr>
        <w:t>的社会团体及其他组织，取消财政票据工本费。</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eastAsia" w:ascii="仿宋" w:hAnsi="仿宋" w:eastAsia="仿宋" w:cs="仿宋"/>
          <w:b/>
          <w:bCs/>
          <w:color w:val="auto"/>
          <w:sz w:val="30"/>
          <w:szCs w:val="30"/>
          <w:lang w:val="en-US" w:eastAsia="zh-CN" w:bidi="ar-SA"/>
        </w:rPr>
      </w:pPr>
      <w:r>
        <w:rPr>
          <w:rFonts w:hint="eastAsia" w:ascii="仿宋" w:hAnsi="仿宋" w:eastAsia="仿宋" w:cs="仿宋"/>
          <w:b/>
          <w:bCs/>
          <w:color w:val="auto"/>
          <w:sz w:val="30"/>
          <w:szCs w:val="30"/>
          <w:lang w:val="en-US" w:eastAsia="zh-CN" w:bidi="ar-SA"/>
        </w:rPr>
        <w:t>【享受主体】</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firstLine="600" w:firstLineChars="200"/>
        <w:jc w:val="both"/>
        <w:textAlignment w:val="auto"/>
        <w:outlineLvl w:val="9"/>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国家机关、事业单位、具有公共管理或者公共服务职能的社会团体及其他组织。　</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eastAsia" w:ascii="仿宋" w:hAnsi="仿宋" w:eastAsia="仿宋" w:cs="仿宋"/>
          <w:b/>
          <w:bCs/>
          <w:color w:val="auto"/>
          <w:sz w:val="30"/>
          <w:szCs w:val="30"/>
          <w:lang w:val="en-US" w:eastAsia="zh-CN" w:bidi="ar-SA"/>
        </w:rPr>
      </w:pPr>
      <w:r>
        <w:rPr>
          <w:rFonts w:hint="eastAsia" w:ascii="仿宋" w:hAnsi="仿宋" w:eastAsia="仿宋" w:cs="仿宋"/>
          <w:b/>
          <w:bCs/>
          <w:color w:val="auto"/>
          <w:sz w:val="30"/>
          <w:szCs w:val="30"/>
          <w:lang w:val="en-US" w:eastAsia="zh-CN" w:bidi="ar-SA"/>
        </w:rPr>
        <w:t>【优惠内容】</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firstLine="600" w:firstLineChars="200"/>
        <w:jc w:val="both"/>
        <w:textAlignment w:val="auto"/>
        <w:outlineLvl w:val="9"/>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自2021年1月1日起，取消财政票据工本费。</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eastAsia" w:ascii="仿宋" w:hAnsi="仿宋" w:eastAsia="仿宋" w:cs="仿宋"/>
          <w:b/>
          <w:bCs/>
          <w:color w:val="auto"/>
          <w:sz w:val="30"/>
          <w:szCs w:val="30"/>
          <w:lang w:val="en-US" w:eastAsia="zh-CN" w:bidi="ar-SA"/>
        </w:rPr>
      </w:pPr>
      <w:r>
        <w:rPr>
          <w:rFonts w:hint="eastAsia" w:ascii="仿宋" w:hAnsi="仿宋" w:eastAsia="仿宋" w:cs="仿宋"/>
          <w:b/>
          <w:bCs/>
          <w:color w:val="auto"/>
          <w:sz w:val="30"/>
          <w:szCs w:val="30"/>
          <w:lang w:val="en-US" w:eastAsia="zh-CN" w:bidi="ar-SA"/>
        </w:rPr>
        <w:t>【政策依据】</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00" w:firstLineChars="200"/>
        <w:jc w:val="both"/>
        <w:textAlignment w:val="auto"/>
        <w:outlineLvl w:val="9"/>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《财政部关于修改〈财政票据管理办法〉的决定》（中华人民共和国财政部令第104号）</w:t>
      </w:r>
    </w:p>
    <w:p>
      <w:pPr>
        <w:pageBreakBefore w:val="0"/>
        <w:kinsoku/>
        <w:wordWrap/>
        <w:overflowPunct/>
        <w:topLinePunct w:val="0"/>
        <w:autoSpaceDE/>
        <w:autoSpaceDN/>
        <w:bidi w:val="0"/>
        <w:adjustRightInd w:val="0"/>
        <w:snapToGrid w:val="0"/>
        <w:spacing w:line="560" w:lineRule="exact"/>
        <w:ind w:firstLine="602" w:firstLineChars="200"/>
        <w:jc w:val="both"/>
        <w:outlineLvl w:val="9"/>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41.</w:t>
      </w:r>
      <w:r>
        <w:rPr>
          <w:rFonts w:hint="eastAsia" w:ascii="仿宋" w:hAnsi="仿宋" w:eastAsia="仿宋" w:cs="仿宋"/>
          <w:b/>
          <w:bCs/>
          <w:sz w:val="30"/>
          <w:szCs w:val="30"/>
          <w:lang w:eastAsia="zh-CN"/>
        </w:rPr>
        <w:t>取消港口建设费</w:t>
      </w:r>
      <w:bookmarkEnd w:id="44"/>
      <w:bookmarkEnd w:id="45"/>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港口建设费缴费人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自2021年1月1日起取消港口建设费。以前年度欠缴的港口建设费，相关执收单位应当足额征收及时清算，并按照财政部门规定的渠道全额上缴国库。</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《关于取消港口建设费和调整民航发展基金有关政策的公告》（2021年第8号）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46" w:name="_Toc67664142"/>
      <w:bookmarkStart w:id="47" w:name="_Toc67905278"/>
      <w:r>
        <w:rPr>
          <w:rFonts w:hint="eastAsia" w:ascii="仿宋" w:hAnsi="仿宋" w:eastAsia="仿宋" w:cs="仿宋"/>
          <w:b/>
          <w:bCs/>
          <w:sz w:val="30"/>
          <w:szCs w:val="30"/>
          <w:lang w:eastAsia="zh-CN"/>
        </w:rPr>
        <w:t>4</w:t>
      </w:r>
      <w:r>
        <w:rPr>
          <w:rFonts w:hint="eastAsia" w:ascii="仿宋" w:hAnsi="仿宋" w:eastAsia="仿宋" w:cs="仿宋"/>
          <w:b/>
          <w:bCs/>
          <w:sz w:val="30"/>
          <w:szCs w:val="30"/>
          <w:lang w:val="en-US" w:eastAsia="zh-CN"/>
        </w:rPr>
        <w:t>2</w:t>
      </w:r>
      <w:r>
        <w:rPr>
          <w:rFonts w:hint="eastAsia" w:ascii="仿宋" w:hAnsi="仿宋" w:eastAsia="仿宋" w:cs="仿宋"/>
          <w:b/>
          <w:bCs/>
          <w:sz w:val="30"/>
          <w:szCs w:val="30"/>
          <w:lang w:eastAsia="zh-CN"/>
        </w:rPr>
        <w:t>.调整民航发展基金有关政策</w:t>
      </w:r>
      <w:bookmarkEnd w:id="46"/>
      <w:bookmarkEnd w:id="47"/>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民航发展基金缴费人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自2021年4月1日起，将航空公司应缴纳民航发展基金的征收标准，在按照《财政部关于调整部分政府性基金有关政策的通知》（财税〔2019〕46号）降低50%的基础上，再降低20%。</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《关于取消港口建设费和调整民航发展基金有关政策的公告》（2021年第8号）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48" w:name="_Toc67905279"/>
      <w:bookmarkStart w:id="49" w:name="_Toc67664143"/>
      <w:r>
        <w:rPr>
          <w:rFonts w:hint="eastAsia" w:ascii="仿宋" w:hAnsi="仿宋" w:eastAsia="仿宋" w:cs="仿宋"/>
          <w:b/>
          <w:bCs/>
          <w:sz w:val="30"/>
          <w:szCs w:val="30"/>
          <w:lang w:eastAsia="zh-CN"/>
        </w:rPr>
        <w:t>4</w:t>
      </w:r>
      <w:r>
        <w:rPr>
          <w:rFonts w:hint="eastAsia" w:ascii="仿宋" w:hAnsi="仿宋" w:eastAsia="仿宋" w:cs="仿宋"/>
          <w:b/>
          <w:bCs/>
          <w:sz w:val="30"/>
          <w:szCs w:val="30"/>
          <w:lang w:val="en-US" w:eastAsia="zh-CN"/>
        </w:rPr>
        <w:t>3</w:t>
      </w:r>
      <w:r>
        <w:rPr>
          <w:rFonts w:hint="eastAsia" w:ascii="仿宋" w:hAnsi="仿宋" w:eastAsia="仿宋" w:cs="仿宋"/>
          <w:b/>
          <w:bCs/>
          <w:sz w:val="30"/>
          <w:szCs w:val="30"/>
          <w:lang w:eastAsia="zh-CN"/>
        </w:rPr>
        <w:t>.继续免征相关医疗器械注册费</w:t>
      </w:r>
      <w:bookmarkEnd w:id="48"/>
      <w:bookmarkEnd w:id="49"/>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防疫医疗器械企业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自2021年1月1日起至2021年12月31日止，对进入医疗器械应急审批程序并与新型冠状病毒（2019-nCoV)相关的防控产品，免征医疗器械产品注册费。</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 国家发展改革委关于继续免征相关防疫药品和医疗器械注册费的公告》（2021年第9号）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50" w:name="_Toc67664144"/>
      <w:bookmarkStart w:id="51" w:name="_Toc67905280"/>
      <w:r>
        <w:rPr>
          <w:rFonts w:hint="eastAsia" w:ascii="仿宋" w:hAnsi="仿宋" w:eastAsia="仿宋" w:cs="仿宋"/>
          <w:b/>
          <w:bCs/>
          <w:sz w:val="30"/>
          <w:szCs w:val="30"/>
          <w:lang w:eastAsia="zh-CN"/>
        </w:rPr>
        <w:t>4</w:t>
      </w:r>
      <w:r>
        <w:rPr>
          <w:rFonts w:hint="eastAsia" w:ascii="仿宋" w:hAnsi="仿宋" w:eastAsia="仿宋" w:cs="仿宋"/>
          <w:b/>
          <w:bCs/>
          <w:sz w:val="30"/>
          <w:szCs w:val="30"/>
          <w:lang w:val="en-US" w:eastAsia="zh-CN"/>
        </w:rPr>
        <w:t>4</w:t>
      </w:r>
      <w:r>
        <w:rPr>
          <w:rFonts w:hint="eastAsia" w:ascii="仿宋" w:hAnsi="仿宋" w:eastAsia="仿宋" w:cs="仿宋"/>
          <w:b/>
          <w:bCs/>
          <w:sz w:val="30"/>
          <w:szCs w:val="30"/>
          <w:lang w:eastAsia="zh-CN"/>
        </w:rPr>
        <w:t>.继续免征相关防疫药品注册费</w:t>
      </w:r>
      <w:bookmarkEnd w:id="50"/>
      <w:bookmarkEnd w:id="51"/>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防疫药品企业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自2021年1月1日起至2021年12月31日止，对进入药品特别审批程序、治疗和预防新型冠状病毒肺炎(COVID-19)的药品，免征药品注册费。</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 国家发展改革委关于继续免征相关防疫药品和医疗器械注册费的公告》（2021年第9号）</w:t>
      </w:r>
    </w:p>
    <w:p>
      <w:pPr>
        <w:pageBreakBefore w:val="0"/>
        <w:kinsoku/>
        <w:wordWrap/>
        <w:overflowPunct/>
        <w:topLinePunct w:val="0"/>
        <w:autoSpaceDE/>
        <w:autoSpaceDN/>
        <w:bidi w:val="0"/>
        <w:adjustRightInd w:val="0"/>
        <w:snapToGrid w:val="0"/>
        <w:spacing w:line="560" w:lineRule="exact"/>
        <w:ind w:firstLine="600" w:firstLineChars="200"/>
        <w:jc w:val="both"/>
        <w:outlineLvl w:val="9"/>
        <w:rPr>
          <w:rFonts w:hint="eastAsia" w:ascii="仿宋" w:hAnsi="仿宋" w:eastAsia="仿宋" w:cs="仿宋"/>
          <w:sz w:val="30"/>
          <w:szCs w:val="30"/>
          <w:lang w:eastAsia="zh-CN"/>
        </w:rPr>
      </w:pPr>
    </w:p>
    <w:p>
      <w:pPr>
        <w:pageBreakBefore w:val="0"/>
        <w:kinsoku/>
        <w:wordWrap/>
        <w:overflowPunct/>
        <w:topLinePunct w:val="0"/>
        <w:autoSpaceDE/>
        <w:autoSpaceDN/>
        <w:bidi w:val="0"/>
        <w:adjustRightInd w:val="0"/>
        <w:snapToGrid w:val="0"/>
        <w:spacing w:line="560" w:lineRule="exact"/>
        <w:ind w:firstLine="600" w:firstLineChars="200"/>
        <w:jc w:val="both"/>
        <w:outlineLvl w:val="9"/>
        <w:rPr>
          <w:rFonts w:hint="eastAsia" w:ascii="仿宋" w:hAnsi="仿宋" w:eastAsia="仿宋" w:cs="仿宋"/>
          <w:color w:val="auto"/>
          <w:sz w:val="30"/>
          <w:szCs w:val="30"/>
          <w:lang w:eastAsia="zh-CN"/>
        </w:rPr>
      </w:pPr>
    </w:p>
    <w:p>
      <w:pPr>
        <w:pageBreakBefore w:val="0"/>
        <w:kinsoku/>
        <w:wordWrap/>
        <w:overflowPunct/>
        <w:topLinePunct w:val="0"/>
        <w:autoSpaceDE/>
        <w:autoSpaceDN/>
        <w:bidi w:val="0"/>
        <w:adjustRightInd w:val="0"/>
        <w:snapToGrid w:val="0"/>
        <w:spacing w:line="560" w:lineRule="exact"/>
        <w:ind w:firstLine="600" w:firstLineChars="200"/>
        <w:jc w:val="both"/>
        <w:outlineLvl w:val="9"/>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仿宋" w:hAnsi="仿宋" w:eastAsia="仿宋" w:cs="仿宋"/>
          <w:color w:val="auto"/>
          <w:sz w:val="30"/>
          <w:szCs w:val="30"/>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Light">
    <w:panose1 w:val="020B0304030504040204"/>
    <w:charset w:val="86"/>
    <w:family w:val="auto"/>
    <w:pitch w:val="default"/>
    <w:sig w:usb0="800002A7" w:usb1="28CF4400" w:usb2="00000016" w:usb3="00000000" w:csb0="00100009"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Gulim">
    <w:panose1 w:val="020B0600000101010101"/>
    <w:charset w:val="81"/>
    <w:family w:val="swiss"/>
    <w:pitch w:val="default"/>
    <w:sig w:usb0="B00002AF" w:usb1="69D77CFB" w:usb2="00000030" w:usb3="00000000" w:csb0="4008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2544807"/>
                            <w:docPartObj>
                              <w:docPartGallery w:val="autotext"/>
                            </w:docPartObj>
                          </w:sdtPr>
                          <w:sdtContent>
                            <w:p>
                              <w:pPr>
                                <w:pStyle w:val="6"/>
                                <w:jc w:val="cente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PAGE   \* MERGEFORMAT</w:instrText>
                              </w:r>
                              <w:r>
                                <w:rPr>
                                  <w:rFonts w:hint="eastAsia" w:ascii="仿宋" w:hAnsi="仿宋" w:eastAsia="仿宋" w:cs="仿宋"/>
                                  <w:sz w:val="30"/>
                                  <w:szCs w:val="30"/>
                                </w:rPr>
                                <w:fldChar w:fldCharType="separate"/>
                              </w:r>
                              <w:r>
                                <w:rPr>
                                  <w:rFonts w:hint="eastAsia" w:ascii="仿宋" w:hAnsi="仿宋" w:eastAsia="仿宋" w:cs="仿宋"/>
                                  <w:sz w:val="30"/>
                                  <w:szCs w:val="30"/>
                                  <w:lang w:val="zh-CN" w:eastAsia="zh-CN"/>
                                </w:rPr>
                                <w:t>16</w:t>
                              </w:r>
                              <w:r>
                                <w:rPr>
                                  <w:rFonts w:hint="eastAsia" w:ascii="仿宋" w:hAnsi="仿宋" w:eastAsia="仿宋" w:cs="仿宋"/>
                                  <w:sz w:val="30"/>
                                  <w:szCs w:val="30"/>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112544807"/>
                      <w:docPartObj>
                        <w:docPartGallery w:val="autotext"/>
                      </w:docPartObj>
                    </w:sdtPr>
                    <w:sdtContent>
                      <w:p>
                        <w:pPr>
                          <w:pStyle w:val="6"/>
                          <w:jc w:val="cente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PAGE   \* MERGEFORMAT</w:instrText>
                        </w:r>
                        <w:r>
                          <w:rPr>
                            <w:rFonts w:hint="eastAsia" w:ascii="仿宋" w:hAnsi="仿宋" w:eastAsia="仿宋" w:cs="仿宋"/>
                            <w:sz w:val="30"/>
                            <w:szCs w:val="30"/>
                          </w:rPr>
                          <w:fldChar w:fldCharType="separate"/>
                        </w:r>
                        <w:r>
                          <w:rPr>
                            <w:rFonts w:hint="eastAsia" w:ascii="仿宋" w:hAnsi="仿宋" w:eastAsia="仿宋" w:cs="仿宋"/>
                            <w:sz w:val="30"/>
                            <w:szCs w:val="30"/>
                            <w:lang w:val="zh-CN" w:eastAsia="zh-CN"/>
                          </w:rPr>
                          <w:t>16</w:t>
                        </w:r>
                        <w:r>
                          <w:rPr>
                            <w:rFonts w:hint="eastAsia" w:ascii="仿宋" w:hAnsi="仿宋" w:eastAsia="仿宋" w:cs="仿宋"/>
                            <w:sz w:val="30"/>
                            <w:szCs w:val="30"/>
                          </w:rPr>
                          <w:fldChar w:fldCharType="end"/>
                        </w:r>
                      </w:p>
                    </w:sdtContent>
                  </w:sdt>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D9C2F"/>
    <w:multiLevelType w:val="singleLevel"/>
    <w:tmpl w:val="E88D9C2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ODhmY2RjNjdlMTdmZTg2OTBiMzBlMDEyZmIyNTEifQ=="/>
  </w:docVars>
  <w:rsids>
    <w:rsidRoot w:val="00A3798C"/>
    <w:rsid w:val="00005B86"/>
    <w:rsid w:val="00015351"/>
    <w:rsid w:val="00017B34"/>
    <w:rsid w:val="00050451"/>
    <w:rsid w:val="000A550A"/>
    <w:rsid w:val="000A6DB9"/>
    <w:rsid w:val="000B43CF"/>
    <w:rsid w:val="000C3838"/>
    <w:rsid w:val="000C5177"/>
    <w:rsid w:val="000D2E82"/>
    <w:rsid w:val="000F09DA"/>
    <w:rsid w:val="00114CA4"/>
    <w:rsid w:val="001230AC"/>
    <w:rsid w:val="00153674"/>
    <w:rsid w:val="00156652"/>
    <w:rsid w:val="00161358"/>
    <w:rsid w:val="00166519"/>
    <w:rsid w:val="00170D93"/>
    <w:rsid w:val="001A730A"/>
    <w:rsid w:val="001B1E97"/>
    <w:rsid w:val="001B5EB7"/>
    <w:rsid w:val="001C15E4"/>
    <w:rsid w:val="001E7009"/>
    <w:rsid w:val="001F3703"/>
    <w:rsid w:val="001F62DB"/>
    <w:rsid w:val="00201C0A"/>
    <w:rsid w:val="00203CF6"/>
    <w:rsid w:val="00217018"/>
    <w:rsid w:val="0021768B"/>
    <w:rsid w:val="0022388F"/>
    <w:rsid w:val="0022477E"/>
    <w:rsid w:val="0023480F"/>
    <w:rsid w:val="002378B0"/>
    <w:rsid w:val="0024559D"/>
    <w:rsid w:val="00251928"/>
    <w:rsid w:val="00264AC5"/>
    <w:rsid w:val="00280792"/>
    <w:rsid w:val="00287992"/>
    <w:rsid w:val="00296644"/>
    <w:rsid w:val="002A41D6"/>
    <w:rsid w:val="002C0205"/>
    <w:rsid w:val="0031321B"/>
    <w:rsid w:val="00323033"/>
    <w:rsid w:val="00325A01"/>
    <w:rsid w:val="003262F1"/>
    <w:rsid w:val="00330049"/>
    <w:rsid w:val="0033359A"/>
    <w:rsid w:val="00340010"/>
    <w:rsid w:val="00340A80"/>
    <w:rsid w:val="00346629"/>
    <w:rsid w:val="00365D05"/>
    <w:rsid w:val="0037448A"/>
    <w:rsid w:val="00390AEE"/>
    <w:rsid w:val="003920D6"/>
    <w:rsid w:val="003941D7"/>
    <w:rsid w:val="003C321D"/>
    <w:rsid w:val="003C3696"/>
    <w:rsid w:val="003C36F9"/>
    <w:rsid w:val="003E617D"/>
    <w:rsid w:val="003F31BF"/>
    <w:rsid w:val="003F63E4"/>
    <w:rsid w:val="00414618"/>
    <w:rsid w:val="00421F8E"/>
    <w:rsid w:val="00424B96"/>
    <w:rsid w:val="00427334"/>
    <w:rsid w:val="00444EC0"/>
    <w:rsid w:val="00455CC4"/>
    <w:rsid w:val="004612F1"/>
    <w:rsid w:val="00461A79"/>
    <w:rsid w:val="00473B7C"/>
    <w:rsid w:val="004815FC"/>
    <w:rsid w:val="004878FF"/>
    <w:rsid w:val="00492761"/>
    <w:rsid w:val="00493C15"/>
    <w:rsid w:val="004A3BE0"/>
    <w:rsid w:val="004C6AA8"/>
    <w:rsid w:val="004D19ED"/>
    <w:rsid w:val="004D4136"/>
    <w:rsid w:val="004F0F80"/>
    <w:rsid w:val="00501B95"/>
    <w:rsid w:val="00513694"/>
    <w:rsid w:val="00530AA1"/>
    <w:rsid w:val="005579AF"/>
    <w:rsid w:val="00576D18"/>
    <w:rsid w:val="00586D4E"/>
    <w:rsid w:val="005923EB"/>
    <w:rsid w:val="00595131"/>
    <w:rsid w:val="005B0AD7"/>
    <w:rsid w:val="005B724A"/>
    <w:rsid w:val="005B7D05"/>
    <w:rsid w:val="005C559C"/>
    <w:rsid w:val="005C715F"/>
    <w:rsid w:val="005D04AC"/>
    <w:rsid w:val="005E1735"/>
    <w:rsid w:val="005E6498"/>
    <w:rsid w:val="005F30B1"/>
    <w:rsid w:val="005F6114"/>
    <w:rsid w:val="005F7595"/>
    <w:rsid w:val="00610B38"/>
    <w:rsid w:val="0062605D"/>
    <w:rsid w:val="00657033"/>
    <w:rsid w:val="00662CE4"/>
    <w:rsid w:val="00682413"/>
    <w:rsid w:val="006A4B56"/>
    <w:rsid w:val="006B2787"/>
    <w:rsid w:val="006C3895"/>
    <w:rsid w:val="006C3A53"/>
    <w:rsid w:val="006D1D7C"/>
    <w:rsid w:val="006E02DE"/>
    <w:rsid w:val="006F39C4"/>
    <w:rsid w:val="006F4006"/>
    <w:rsid w:val="007145BB"/>
    <w:rsid w:val="00743ADD"/>
    <w:rsid w:val="007448AC"/>
    <w:rsid w:val="00763C81"/>
    <w:rsid w:val="00776521"/>
    <w:rsid w:val="00780D2A"/>
    <w:rsid w:val="00781066"/>
    <w:rsid w:val="00782668"/>
    <w:rsid w:val="007838B5"/>
    <w:rsid w:val="00791D33"/>
    <w:rsid w:val="007A1CC5"/>
    <w:rsid w:val="007B0407"/>
    <w:rsid w:val="007B309F"/>
    <w:rsid w:val="007C119B"/>
    <w:rsid w:val="007C24CB"/>
    <w:rsid w:val="007D1DA1"/>
    <w:rsid w:val="007D2015"/>
    <w:rsid w:val="007E3FBF"/>
    <w:rsid w:val="007F0F66"/>
    <w:rsid w:val="008050A0"/>
    <w:rsid w:val="00861708"/>
    <w:rsid w:val="00866CE0"/>
    <w:rsid w:val="00872640"/>
    <w:rsid w:val="00875B25"/>
    <w:rsid w:val="00891B8B"/>
    <w:rsid w:val="00891EA4"/>
    <w:rsid w:val="00893913"/>
    <w:rsid w:val="008A3D0A"/>
    <w:rsid w:val="008A55B8"/>
    <w:rsid w:val="008B5056"/>
    <w:rsid w:val="008B788D"/>
    <w:rsid w:val="008B79DC"/>
    <w:rsid w:val="008C0805"/>
    <w:rsid w:val="008C4C3A"/>
    <w:rsid w:val="00906E00"/>
    <w:rsid w:val="00907117"/>
    <w:rsid w:val="00911BCE"/>
    <w:rsid w:val="009216DA"/>
    <w:rsid w:val="0093413C"/>
    <w:rsid w:val="00934C16"/>
    <w:rsid w:val="0095099B"/>
    <w:rsid w:val="009536B2"/>
    <w:rsid w:val="009554F8"/>
    <w:rsid w:val="0098049C"/>
    <w:rsid w:val="00986F33"/>
    <w:rsid w:val="009B6729"/>
    <w:rsid w:val="009C5286"/>
    <w:rsid w:val="009D3DBC"/>
    <w:rsid w:val="009E31CB"/>
    <w:rsid w:val="009E51B6"/>
    <w:rsid w:val="009E5AA6"/>
    <w:rsid w:val="009E7F5A"/>
    <w:rsid w:val="00A040B2"/>
    <w:rsid w:val="00A04AEF"/>
    <w:rsid w:val="00A057F8"/>
    <w:rsid w:val="00A21185"/>
    <w:rsid w:val="00A25812"/>
    <w:rsid w:val="00A26170"/>
    <w:rsid w:val="00A31D2F"/>
    <w:rsid w:val="00A32444"/>
    <w:rsid w:val="00A377BD"/>
    <w:rsid w:val="00A3798C"/>
    <w:rsid w:val="00A4255B"/>
    <w:rsid w:val="00A428BF"/>
    <w:rsid w:val="00A4558E"/>
    <w:rsid w:val="00A52539"/>
    <w:rsid w:val="00A73D52"/>
    <w:rsid w:val="00A82CF1"/>
    <w:rsid w:val="00AA4C17"/>
    <w:rsid w:val="00AB42DB"/>
    <w:rsid w:val="00AC41DC"/>
    <w:rsid w:val="00AC7BAB"/>
    <w:rsid w:val="00AD687A"/>
    <w:rsid w:val="00B01483"/>
    <w:rsid w:val="00B01F30"/>
    <w:rsid w:val="00B20443"/>
    <w:rsid w:val="00B45777"/>
    <w:rsid w:val="00B53BBD"/>
    <w:rsid w:val="00B55FE4"/>
    <w:rsid w:val="00B641A5"/>
    <w:rsid w:val="00B64254"/>
    <w:rsid w:val="00B65E8E"/>
    <w:rsid w:val="00B67342"/>
    <w:rsid w:val="00B80783"/>
    <w:rsid w:val="00BA65F7"/>
    <w:rsid w:val="00BC780D"/>
    <w:rsid w:val="00BF678C"/>
    <w:rsid w:val="00BF7EED"/>
    <w:rsid w:val="00C039CB"/>
    <w:rsid w:val="00C125A1"/>
    <w:rsid w:val="00C22E35"/>
    <w:rsid w:val="00C319F7"/>
    <w:rsid w:val="00C50536"/>
    <w:rsid w:val="00C52F1E"/>
    <w:rsid w:val="00C55BB6"/>
    <w:rsid w:val="00C571E6"/>
    <w:rsid w:val="00C57CA9"/>
    <w:rsid w:val="00C61487"/>
    <w:rsid w:val="00C618AF"/>
    <w:rsid w:val="00C73EDF"/>
    <w:rsid w:val="00C81696"/>
    <w:rsid w:val="00C81743"/>
    <w:rsid w:val="00C82E4F"/>
    <w:rsid w:val="00C8509B"/>
    <w:rsid w:val="00C9103A"/>
    <w:rsid w:val="00C920AB"/>
    <w:rsid w:val="00C92FBE"/>
    <w:rsid w:val="00CA1BAF"/>
    <w:rsid w:val="00CA60C8"/>
    <w:rsid w:val="00CC2CC9"/>
    <w:rsid w:val="00CF1DD9"/>
    <w:rsid w:val="00D074B3"/>
    <w:rsid w:val="00D26498"/>
    <w:rsid w:val="00D30830"/>
    <w:rsid w:val="00D46820"/>
    <w:rsid w:val="00D50230"/>
    <w:rsid w:val="00D56D68"/>
    <w:rsid w:val="00D65D57"/>
    <w:rsid w:val="00DA0836"/>
    <w:rsid w:val="00DA45B4"/>
    <w:rsid w:val="00DA5BF7"/>
    <w:rsid w:val="00DA72D8"/>
    <w:rsid w:val="00DB16ED"/>
    <w:rsid w:val="00DC0068"/>
    <w:rsid w:val="00DC0FED"/>
    <w:rsid w:val="00DC15F4"/>
    <w:rsid w:val="00DE2310"/>
    <w:rsid w:val="00DE342F"/>
    <w:rsid w:val="00DE5D14"/>
    <w:rsid w:val="00DF252E"/>
    <w:rsid w:val="00DF2E81"/>
    <w:rsid w:val="00E00725"/>
    <w:rsid w:val="00E0441B"/>
    <w:rsid w:val="00E344B0"/>
    <w:rsid w:val="00E360D9"/>
    <w:rsid w:val="00E42809"/>
    <w:rsid w:val="00E46C00"/>
    <w:rsid w:val="00E471A4"/>
    <w:rsid w:val="00E54392"/>
    <w:rsid w:val="00E57F26"/>
    <w:rsid w:val="00E60738"/>
    <w:rsid w:val="00E624A4"/>
    <w:rsid w:val="00E64D61"/>
    <w:rsid w:val="00E65FA8"/>
    <w:rsid w:val="00E7321C"/>
    <w:rsid w:val="00E951B6"/>
    <w:rsid w:val="00EA2E2A"/>
    <w:rsid w:val="00EA68B0"/>
    <w:rsid w:val="00EB4F64"/>
    <w:rsid w:val="00EB5A24"/>
    <w:rsid w:val="00EF6AA1"/>
    <w:rsid w:val="00F004E6"/>
    <w:rsid w:val="00F01668"/>
    <w:rsid w:val="00F029CB"/>
    <w:rsid w:val="00F02C01"/>
    <w:rsid w:val="00F04186"/>
    <w:rsid w:val="00F05670"/>
    <w:rsid w:val="00F13727"/>
    <w:rsid w:val="00F1673E"/>
    <w:rsid w:val="00F63B13"/>
    <w:rsid w:val="00F6511B"/>
    <w:rsid w:val="00F67DFF"/>
    <w:rsid w:val="00F76B74"/>
    <w:rsid w:val="00F813DC"/>
    <w:rsid w:val="00F8588D"/>
    <w:rsid w:val="00F94CDC"/>
    <w:rsid w:val="00FA5E58"/>
    <w:rsid w:val="00FB3185"/>
    <w:rsid w:val="00FB51AB"/>
    <w:rsid w:val="00FB696C"/>
    <w:rsid w:val="00FC0B92"/>
    <w:rsid w:val="00FC28BC"/>
    <w:rsid w:val="00FE1891"/>
    <w:rsid w:val="117376D9"/>
    <w:rsid w:val="40495497"/>
    <w:rsid w:val="42106D2F"/>
    <w:rsid w:val="46C75799"/>
    <w:rsid w:val="55861EDD"/>
    <w:rsid w:val="64110AD5"/>
    <w:rsid w:val="6EA671E6"/>
    <w:rsid w:val="775F3E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4"/>
    <w:qFormat/>
    <w:uiPriority w:val="99"/>
    <w:pPr>
      <w:shd w:val="clear" w:color="auto" w:fill="FFFFFF"/>
      <w:spacing w:line="444" w:lineRule="auto"/>
      <w:ind w:firstLine="400"/>
    </w:pPr>
    <w:rPr>
      <w:rFonts w:ascii="MingLiU" w:eastAsia="MingLiU" w:cs="MingLiU"/>
      <w:color w:val="auto"/>
      <w:sz w:val="28"/>
      <w:szCs w:val="28"/>
      <w:lang w:val="zh-CN" w:eastAsia="zh-CN"/>
    </w:rPr>
  </w:style>
  <w:style w:type="paragraph" w:styleId="5">
    <w:name w:val="Plain Text"/>
    <w:basedOn w:val="1"/>
    <w:link w:val="37"/>
    <w:unhideWhenUsed/>
    <w:qFormat/>
    <w:uiPriority w:val="0"/>
    <w:pPr>
      <w:jc w:val="both"/>
    </w:pPr>
    <w:rPr>
      <w:rFonts w:ascii="宋体" w:hAnsi="Courier New" w:eastAsia="宋体" w:cs="Courier New"/>
      <w:color w:val="auto"/>
      <w:kern w:val="2"/>
      <w:sz w:val="21"/>
      <w:szCs w:val="21"/>
      <w:lang w:eastAsia="zh-CN"/>
    </w:rPr>
  </w:style>
  <w:style w:type="paragraph" w:styleId="6">
    <w:name w:val="footer"/>
    <w:basedOn w:val="1"/>
    <w:link w:val="36"/>
    <w:unhideWhenUsed/>
    <w:uiPriority w:val="99"/>
    <w:pPr>
      <w:tabs>
        <w:tab w:val="center" w:pos="4153"/>
        <w:tab w:val="right" w:pos="8306"/>
      </w:tabs>
      <w:snapToGrid w:val="0"/>
    </w:pPr>
    <w:rPr>
      <w:sz w:val="18"/>
      <w:szCs w:val="18"/>
    </w:rPr>
  </w:style>
  <w:style w:type="paragraph" w:styleId="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pPr>
    <w:rPr>
      <w:rFonts w:cs="Times New Roman" w:asciiTheme="minorHAnsi" w:hAnsiTheme="minorHAnsi" w:eastAsiaTheme="minorEastAsia"/>
      <w:color w:val="auto"/>
      <w:lang w:eastAsia="zh-CN"/>
    </w:rPr>
  </w:style>
  <w:style w:type="character" w:styleId="11">
    <w:name w:val="Strong"/>
    <w:basedOn w:val="10"/>
    <w:qFormat/>
    <w:uiPriority w:val="0"/>
    <w:rPr>
      <w:b/>
    </w:rPr>
  </w:style>
  <w:style w:type="character" w:styleId="12">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customStyle="1" w:styleId="14">
    <w:name w:val="正文文本 (4)_"/>
    <w:basedOn w:val="10"/>
    <w:link w:val="15"/>
    <w:qFormat/>
    <w:locked/>
    <w:uiPriority w:val="99"/>
    <w:rPr>
      <w:rFonts w:ascii="MingLiU" w:eastAsia="MingLiU" w:cs="MingLiU"/>
      <w:b/>
      <w:bCs/>
      <w:sz w:val="36"/>
      <w:szCs w:val="36"/>
      <w:shd w:val="clear" w:color="auto" w:fill="FFFFFF"/>
      <w:lang w:val="zh-CN"/>
    </w:rPr>
  </w:style>
  <w:style w:type="paragraph" w:customStyle="1" w:styleId="15">
    <w:name w:val="正文文本 (4)"/>
    <w:basedOn w:val="1"/>
    <w:link w:val="14"/>
    <w:qFormat/>
    <w:uiPriority w:val="99"/>
    <w:pPr>
      <w:shd w:val="clear" w:color="auto" w:fill="FFFFFF"/>
      <w:spacing w:before="720" w:after="620"/>
    </w:pPr>
    <w:rPr>
      <w:rFonts w:ascii="MingLiU" w:eastAsia="MingLiU" w:cs="MingLiU" w:hAnsiTheme="minorHAnsi"/>
      <w:b/>
      <w:bCs/>
      <w:color w:val="auto"/>
      <w:kern w:val="2"/>
      <w:sz w:val="36"/>
      <w:szCs w:val="36"/>
      <w:lang w:val="zh-CN" w:eastAsia="zh-CN"/>
    </w:rPr>
  </w:style>
  <w:style w:type="character" w:customStyle="1" w:styleId="16">
    <w:name w:val="页眉或页脚 (2)_"/>
    <w:basedOn w:val="10"/>
    <w:link w:val="17"/>
    <w:qFormat/>
    <w:locked/>
    <w:uiPriority w:val="99"/>
    <w:rPr>
      <w:rFonts w:ascii="Times New Roman" w:hAnsi="Times New Roman" w:cs="Times New Roman"/>
      <w:sz w:val="20"/>
      <w:szCs w:val="20"/>
      <w:lang w:val="zh-CN"/>
    </w:rPr>
  </w:style>
  <w:style w:type="paragraph" w:customStyle="1" w:styleId="17">
    <w:name w:val="页眉或页脚 (2)"/>
    <w:basedOn w:val="1"/>
    <w:link w:val="16"/>
    <w:qFormat/>
    <w:uiPriority w:val="99"/>
    <w:rPr>
      <w:rFonts w:ascii="Times New Roman" w:hAnsi="Times New Roman" w:cs="Times New Roman" w:eastAsiaTheme="minorEastAsia"/>
      <w:color w:val="auto"/>
      <w:kern w:val="2"/>
      <w:sz w:val="20"/>
      <w:szCs w:val="20"/>
      <w:lang w:val="zh-CN" w:eastAsia="zh-CN"/>
    </w:rPr>
  </w:style>
  <w:style w:type="character" w:customStyle="1" w:styleId="18">
    <w:name w:val="目录_"/>
    <w:basedOn w:val="10"/>
    <w:link w:val="19"/>
    <w:qFormat/>
    <w:locked/>
    <w:uiPriority w:val="99"/>
    <w:rPr>
      <w:rFonts w:ascii="宋体" w:eastAsia="宋体" w:cs="宋体"/>
      <w:sz w:val="20"/>
      <w:szCs w:val="20"/>
      <w:shd w:val="clear" w:color="auto" w:fill="FFFFFF"/>
      <w:lang w:val="zh-CN"/>
    </w:rPr>
  </w:style>
  <w:style w:type="paragraph" w:customStyle="1" w:styleId="19">
    <w:name w:val="目录"/>
    <w:basedOn w:val="1"/>
    <w:link w:val="18"/>
    <w:qFormat/>
    <w:uiPriority w:val="99"/>
    <w:pPr>
      <w:shd w:val="clear" w:color="auto" w:fill="FFFFFF"/>
      <w:spacing w:line="312" w:lineRule="exact"/>
      <w:ind w:firstLine="540"/>
    </w:pPr>
    <w:rPr>
      <w:rFonts w:ascii="宋体" w:eastAsia="宋体" w:cs="宋体" w:hAnsiTheme="minorHAnsi"/>
      <w:color w:val="auto"/>
      <w:kern w:val="2"/>
      <w:sz w:val="20"/>
      <w:szCs w:val="20"/>
      <w:lang w:val="zh-CN" w:eastAsia="zh-CN"/>
    </w:rPr>
  </w:style>
  <w:style w:type="character" w:customStyle="1" w:styleId="20">
    <w:name w:val="正文文本 (3)_"/>
    <w:basedOn w:val="10"/>
    <w:link w:val="21"/>
    <w:qFormat/>
    <w:locked/>
    <w:uiPriority w:val="99"/>
    <w:rPr>
      <w:rFonts w:ascii="宋体" w:eastAsia="宋体" w:cs="宋体"/>
      <w:sz w:val="20"/>
      <w:szCs w:val="20"/>
      <w:shd w:val="clear" w:color="auto" w:fill="FFFFFF"/>
      <w:lang w:val="zh-CN"/>
    </w:rPr>
  </w:style>
  <w:style w:type="paragraph" w:customStyle="1" w:styleId="21">
    <w:name w:val="正文文本 (3)"/>
    <w:basedOn w:val="1"/>
    <w:link w:val="20"/>
    <w:qFormat/>
    <w:uiPriority w:val="99"/>
    <w:pPr>
      <w:shd w:val="clear" w:color="auto" w:fill="FFFFFF"/>
      <w:spacing w:line="312" w:lineRule="exact"/>
      <w:ind w:firstLine="540"/>
    </w:pPr>
    <w:rPr>
      <w:rFonts w:ascii="宋体" w:eastAsia="宋体" w:cs="宋体" w:hAnsiTheme="minorHAnsi"/>
      <w:color w:val="auto"/>
      <w:kern w:val="2"/>
      <w:sz w:val="20"/>
      <w:szCs w:val="20"/>
      <w:lang w:val="zh-CN" w:eastAsia="zh-CN"/>
    </w:rPr>
  </w:style>
  <w:style w:type="character" w:customStyle="1" w:styleId="22">
    <w:name w:val="标题 #1_"/>
    <w:basedOn w:val="10"/>
    <w:link w:val="23"/>
    <w:qFormat/>
    <w:locked/>
    <w:uiPriority w:val="99"/>
    <w:rPr>
      <w:rFonts w:ascii="黑体" w:eastAsia="黑体" w:cs="黑体"/>
      <w:sz w:val="32"/>
      <w:szCs w:val="32"/>
      <w:shd w:val="clear" w:color="auto" w:fill="FFFFFF"/>
      <w:lang w:val="zh-CN"/>
    </w:rPr>
  </w:style>
  <w:style w:type="paragraph" w:customStyle="1" w:styleId="23">
    <w:name w:val="标题 #1"/>
    <w:basedOn w:val="1"/>
    <w:link w:val="22"/>
    <w:qFormat/>
    <w:uiPriority w:val="99"/>
    <w:pPr>
      <w:shd w:val="clear" w:color="auto" w:fill="FFFFFF"/>
      <w:spacing w:line="622" w:lineRule="exact"/>
      <w:ind w:left="620" w:firstLine="650"/>
      <w:outlineLvl w:val="0"/>
    </w:pPr>
    <w:rPr>
      <w:rFonts w:ascii="黑体" w:eastAsia="黑体" w:cs="黑体" w:hAnsiTheme="minorHAnsi"/>
      <w:color w:val="auto"/>
      <w:kern w:val="2"/>
      <w:sz w:val="32"/>
      <w:szCs w:val="32"/>
      <w:lang w:val="zh-CN" w:eastAsia="zh-CN"/>
    </w:rPr>
  </w:style>
  <w:style w:type="character" w:customStyle="1" w:styleId="24">
    <w:name w:val="标题 #2_"/>
    <w:basedOn w:val="10"/>
    <w:link w:val="25"/>
    <w:qFormat/>
    <w:locked/>
    <w:uiPriority w:val="99"/>
    <w:rPr>
      <w:rFonts w:ascii="宋体" w:eastAsia="宋体" w:cs="宋体"/>
      <w:b/>
      <w:bCs/>
      <w:sz w:val="32"/>
      <w:szCs w:val="32"/>
      <w:shd w:val="clear" w:color="auto" w:fill="FFFFFF"/>
      <w:lang w:val="zh-CN"/>
    </w:rPr>
  </w:style>
  <w:style w:type="paragraph" w:customStyle="1" w:styleId="25">
    <w:name w:val="标题 #2"/>
    <w:basedOn w:val="1"/>
    <w:link w:val="24"/>
    <w:qFormat/>
    <w:uiPriority w:val="99"/>
    <w:pPr>
      <w:shd w:val="clear" w:color="auto" w:fill="FFFFFF"/>
      <w:spacing w:line="623" w:lineRule="exact"/>
      <w:ind w:left="1240" w:firstLine="640"/>
      <w:outlineLvl w:val="1"/>
    </w:pPr>
    <w:rPr>
      <w:rFonts w:ascii="宋体" w:eastAsia="宋体" w:cs="宋体" w:hAnsiTheme="minorHAnsi"/>
      <w:b/>
      <w:bCs/>
      <w:color w:val="auto"/>
      <w:kern w:val="2"/>
      <w:sz w:val="32"/>
      <w:szCs w:val="32"/>
      <w:lang w:val="zh-CN" w:eastAsia="zh-CN"/>
    </w:rPr>
  </w:style>
  <w:style w:type="character" w:customStyle="1" w:styleId="26">
    <w:name w:val="标题 #3_"/>
    <w:basedOn w:val="10"/>
    <w:link w:val="27"/>
    <w:qFormat/>
    <w:locked/>
    <w:uiPriority w:val="99"/>
    <w:rPr>
      <w:rFonts w:ascii="宋体" w:eastAsia="宋体" w:cs="宋体"/>
      <w:b/>
      <w:bCs/>
      <w:sz w:val="32"/>
      <w:szCs w:val="32"/>
      <w:shd w:val="clear" w:color="auto" w:fill="FFFFFF"/>
      <w:lang w:val="zh-CN"/>
    </w:rPr>
  </w:style>
  <w:style w:type="paragraph" w:customStyle="1" w:styleId="27">
    <w:name w:val="标题 #3"/>
    <w:basedOn w:val="1"/>
    <w:link w:val="26"/>
    <w:qFormat/>
    <w:uiPriority w:val="99"/>
    <w:pPr>
      <w:shd w:val="clear" w:color="auto" w:fill="FFFFFF"/>
      <w:spacing w:line="623" w:lineRule="exact"/>
      <w:ind w:left="1700"/>
      <w:outlineLvl w:val="2"/>
    </w:pPr>
    <w:rPr>
      <w:rFonts w:ascii="宋体" w:eastAsia="宋体" w:cs="宋体" w:hAnsiTheme="minorHAnsi"/>
      <w:b/>
      <w:bCs/>
      <w:color w:val="auto"/>
      <w:kern w:val="2"/>
      <w:sz w:val="32"/>
      <w:szCs w:val="32"/>
      <w:lang w:val="zh-CN" w:eastAsia="zh-CN"/>
    </w:rPr>
  </w:style>
  <w:style w:type="paragraph" w:customStyle="1" w:styleId="28">
    <w:name w:val="正文文本 (2)"/>
    <w:basedOn w:val="1"/>
    <w:link w:val="29"/>
    <w:qFormat/>
    <w:uiPriority w:val="99"/>
    <w:pPr>
      <w:shd w:val="clear" w:color="auto" w:fill="FFFFFF"/>
      <w:spacing w:after="240"/>
      <w:jc w:val="center"/>
    </w:pPr>
    <w:rPr>
      <w:rFonts w:ascii="宋体" w:eastAsia="宋体" w:cs="宋体"/>
      <w:b/>
      <w:bCs/>
      <w:color w:val="auto"/>
      <w:sz w:val="32"/>
      <w:szCs w:val="32"/>
      <w:lang w:val="zh-CN" w:eastAsia="zh-CN"/>
    </w:rPr>
  </w:style>
  <w:style w:type="character" w:customStyle="1" w:styleId="29">
    <w:name w:val="正文文本 (2)_"/>
    <w:basedOn w:val="10"/>
    <w:link w:val="28"/>
    <w:qFormat/>
    <w:locked/>
    <w:uiPriority w:val="99"/>
    <w:rPr>
      <w:rFonts w:ascii="宋体" w:hAnsi="Microsoft JhengHei Light" w:eastAsia="宋体" w:cs="宋体"/>
      <w:b/>
      <w:bCs/>
      <w:kern w:val="0"/>
      <w:sz w:val="32"/>
      <w:szCs w:val="32"/>
      <w:shd w:val="clear" w:color="auto" w:fill="FFFFFF"/>
      <w:lang w:val="zh-CN"/>
    </w:rPr>
  </w:style>
  <w:style w:type="character" w:customStyle="1" w:styleId="30">
    <w:name w:val="其他_"/>
    <w:basedOn w:val="10"/>
    <w:link w:val="31"/>
    <w:qFormat/>
    <w:locked/>
    <w:uiPriority w:val="99"/>
    <w:rPr>
      <w:rFonts w:ascii="MingLiU" w:eastAsia="MingLiU" w:cs="MingLiU"/>
      <w:sz w:val="28"/>
      <w:szCs w:val="28"/>
      <w:shd w:val="clear" w:color="auto" w:fill="FFFFFF"/>
      <w:lang w:val="zh-CN"/>
    </w:rPr>
  </w:style>
  <w:style w:type="paragraph" w:customStyle="1" w:styleId="31">
    <w:name w:val="其他"/>
    <w:basedOn w:val="1"/>
    <w:link w:val="30"/>
    <w:qFormat/>
    <w:uiPriority w:val="99"/>
    <w:pPr>
      <w:shd w:val="clear" w:color="auto" w:fill="FFFFFF"/>
      <w:spacing w:line="444" w:lineRule="auto"/>
      <w:ind w:firstLine="400"/>
    </w:pPr>
    <w:rPr>
      <w:rFonts w:ascii="MingLiU" w:eastAsia="MingLiU" w:cs="MingLiU" w:hAnsiTheme="minorHAnsi"/>
      <w:color w:val="auto"/>
      <w:kern w:val="2"/>
      <w:sz w:val="28"/>
      <w:szCs w:val="28"/>
      <w:lang w:val="zh-CN" w:eastAsia="zh-CN"/>
    </w:rPr>
  </w:style>
  <w:style w:type="character" w:customStyle="1" w:styleId="32">
    <w:name w:val="正文文本 (7)_"/>
    <w:basedOn w:val="10"/>
    <w:link w:val="33"/>
    <w:qFormat/>
    <w:locked/>
    <w:uiPriority w:val="99"/>
    <w:rPr>
      <w:rFonts w:ascii="Gulim" w:eastAsia="Gulim" w:cs="Gulim"/>
      <w:sz w:val="28"/>
      <w:szCs w:val="28"/>
      <w:shd w:val="clear" w:color="auto" w:fill="FFFFFF"/>
    </w:rPr>
  </w:style>
  <w:style w:type="paragraph" w:customStyle="1" w:styleId="33">
    <w:name w:val="正文文本 (7)"/>
    <w:basedOn w:val="1"/>
    <w:link w:val="32"/>
    <w:uiPriority w:val="99"/>
    <w:pPr>
      <w:shd w:val="clear" w:color="auto" w:fill="FFFFFF"/>
      <w:spacing w:line="624" w:lineRule="exact"/>
      <w:ind w:left="1240"/>
    </w:pPr>
    <w:rPr>
      <w:rFonts w:ascii="Gulim" w:eastAsia="Gulim" w:cs="Gulim" w:hAnsiTheme="minorHAnsi"/>
      <w:color w:val="auto"/>
      <w:kern w:val="2"/>
      <w:sz w:val="28"/>
      <w:szCs w:val="28"/>
      <w:lang w:eastAsia="zh-CN"/>
    </w:rPr>
  </w:style>
  <w:style w:type="character" w:customStyle="1" w:styleId="34">
    <w:name w:val="正文文本 Char"/>
    <w:basedOn w:val="10"/>
    <w:link w:val="4"/>
    <w:qFormat/>
    <w:uiPriority w:val="99"/>
    <w:rPr>
      <w:rFonts w:ascii="MingLiU" w:hAnsi="Microsoft JhengHei Light" w:eastAsia="MingLiU" w:cs="MingLiU"/>
      <w:kern w:val="0"/>
      <w:sz w:val="28"/>
      <w:szCs w:val="28"/>
      <w:shd w:val="clear" w:color="auto" w:fill="FFFFFF"/>
      <w:lang w:val="zh-CN"/>
    </w:rPr>
  </w:style>
  <w:style w:type="character" w:customStyle="1" w:styleId="35">
    <w:name w:val="页眉 Char"/>
    <w:basedOn w:val="10"/>
    <w:link w:val="7"/>
    <w:qFormat/>
    <w:uiPriority w:val="99"/>
    <w:rPr>
      <w:rFonts w:ascii="Microsoft JhengHei Light" w:hAnsi="Microsoft JhengHei Light" w:eastAsia="Microsoft JhengHei Light" w:cs="Microsoft JhengHei Light"/>
      <w:color w:val="000000"/>
      <w:kern w:val="0"/>
      <w:sz w:val="18"/>
      <w:szCs w:val="18"/>
      <w:lang w:eastAsia="en-US"/>
    </w:rPr>
  </w:style>
  <w:style w:type="character" w:customStyle="1" w:styleId="36">
    <w:name w:val="页脚 Char"/>
    <w:basedOn w:val="10"/>
    <w:link w:val="6"/>
    <w:qFormat/>
    <w:uiPriority w:val="99"/>
    <w:rPr>
      <w:rFonts w:ascii="Microsoft JhengHei Light" w:hAnsi="Microsoft JhengHei Light" w:eastAsia="Microsoft JhengHei Light" w:cs="Microsoft JhengHei Light"/>
      <w:color w:val="000000"/>
      <w:kern w:val="0"/>
      <w:sz w:val="18"/>
      <w:szCs w:val="18"/>
      <w:lang w:eastAsia="en-US"/>
    </w:rPr>
  </w:style>
  <w:style w:type="character" w:customStyle="1" w:styleId="37">
    <w:name w:val="纯文本 Char"/>
    <w:basedOn w:val="10"/>
    <w:link w:val="5"/>
    <w:uiPriority w:val="0"/>
    <w:rPr>
      <w:rFonts w:ascii="宋体" w:hAnsi="Courier New" w:eastAsia="宋体" w:cs="Courier New"/>
      <w:szCs w:val="21"/>
    </w:rPr>
  </w:style>
  <w:style w:type="paragraph" w:styleId="38">
    <w:name w:val="List Paragraph"/>
    <w:basedOn w:val="1"/>
    <w:qFormat/>
    <w:uiPriority w:val="34"/>
    <w:pPr>
      <w:ind w:firstLine="420" w:firstLineChars="200"/>
    </w:pPr>
  </w:style>
  <w:style w:type="character" w:customStyle="1" w:styleId="39">
    <w:name w:val="yanse"/>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1726</Words>
  <Characters>9843</Characters>
  <Lines>82</Lines>
  <Paragraphs>23</Paragraphs>
  <TotalTime>0</TotalTime>
  <ScaleCrop>false</ScaleCrop>
  <LinksUpToDate>false</LinksUpToDate>
  <CharactersWithSpaces>11546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2021-01-29T00:48:00Z</dcterms:created>
  <dc:creator>admin</dc:creator>
  <cp:lastModifiedBy>程龙</cp:lastModifiedBy>
  <cp:lastPrinted>2021-04-20T07:56:00Z</cp:lastPrinted>
  <dcterms:modified xsi:type="dcterms:W3CDTF">2024-03-06T00:53:17Z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7F0E96B4082545818F71F62D764AD357</vt:lpwstr>
  </property>
</Properties>
</file>